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34374E">
      <w:pPr>
        <w:spacing w:line="240" w:lineRule="auto"/>
        <w:jc w:val="center"/>
        <w:outlineLvl w:val="9"/>
        <w:rPr>
          <w:rFonts w:hint="eastAsia" w:ascii="宋体" w:hAnsi="宋体" w:eastAsia="宋体" w:cs="宋体"/>
          <w:b/>
          <w:bCs/>
          <w:color w:val="auto"/>
          <w:sz w:val="44"/>
          <w:szCs w:val="44"/>
          <w:highlight w:val="none"/>
          <w:lang w:val="en-US" w:eastAsia="zh-CN"/>
        </w:rPr>
      </w:pPr>
      <w:bookmarkStart w:id="419" w:name="_GoBack"/>
      <w:bookmarkEnd w:id="419"/>
    </w:p>
    <w:p w14:paraId="1307E63B">
      <w:pPr>
        <w:spacing w:line="240" w:lineRule="auto"/>
        <w:ind w:firstLine="883" w:firstLineChars="200"/>
        <w:jc w:val="center"/>
        <w:outlineLvl w:val="9"/>
        <w:rPr>
          <w:rFonts w:hint="eastAsia" w:ascii="Times New Roman" w:hAnsi="Times New Roman" w:eastAsia="宋体"/>
          <w:b/>
          <w:bCs/>
          <w:color w:val="auto"/>
          <w:sz w:val="44"/>
          <w:szCs w:val="44"/>
          <w:highlight w:val="none"/>
          <w:lang w:val="en-US" w:eastAsia="zh-CN"/>
        </w:rPr>
      </w:pPr>
      <w:r>
        <w:rPr>
          <w:rFonts w:hint="eastAsia" w:ascii="Times New Roman" w:hAnsi="Times New Roman" w:eastAsia="宋体"/>
          <w:b/>
          <w:bCs/>
          <w:color w:val="auto"/>
          <w:sz w:val="44"/>
          <w:szCs w:val="44"/>
          <w:highlight w:val="none"/>
          <w:lang w:val="en-US" w:eastAsia="zh-CN"/>
        </w:rPr>
        <w:t>巫山县中医院</w:t>
      </w:r>
    </w:p>
    <w:p w14:paraId="11ECB126">
      <w:pPr>
        <w:spacing w:line="240" w:lineRule="auto"/>
        <w:ind w:firstLine="883" w:firstLineChars="200"/>
        <w:jc w:val="center"/>
        <w:outlineLvl w:val="9"/>
        <w:rPr>
          <w:rFonts w:hint="default" w:ascii="Times New Roman" w:hAnsi="Times New Roman" w:eastAsia="宋体"/>
          <w:b/>
          <w:bCs/>
          <w:color w:val="auto"/>
          <w:sz w:val="44"/>
          <w:szCs w:val="44"/>
          <w:highlight w:val="none"/>
          <w:lang w:val="en-US" w:eastAsia="zh-CN"/>
        </w:rPr>
      </w:pPr>
      <w:r>
        <w:rPr>
          <w:rFonts w:hint="eastAsia" w:ascii="Times New Roman" w:hAnsi="Times New Roman" w:eastAsia="宋体"/>
          <w:b/>
          <w:bCs/>
          <w:color w:val="auto"/>
          <w:sz w:val="44"/>
          <w:szCs w:val="44"/>
          <w:highlight w:val="none"/>
          <w:lang w:val="en-US" w:eastAsia="zh-CN"/>
        </w:rPr>
        <w:t>陪护支持中心服务项目</w:t>
      </w:r>
    </w:p>
    <w:p w14:paraId="0AD3C66A">
      <w:pPr>
        <w:spacing w:line="240" w:lineRule="auto"/>
        <w:jc w:val="left"/>
        <w:outlineLvl w:val="9"/>
        <w:rPr>
          <w:rFonts w:hint="eastAsia" w:ascii="宋体" w:hAnsi="宋体" w:eastAsia="宋体" w:cs="宋体"/>
          <w:b/>
          <w:bCs/>
          <w:color w:val="auto"/>
          <w:sz w:val="32"/>
          <w:szCs w:val="21"/>
          <w:highlight w:val="none"/>
        </w:rPr>
      </w:pPr>
    </w:p>
    <w:p w14:paraId="65FFEA29">
      <w:pPr>
        <w:spacing w:line="240" w:lineRule="auto"/>
        <w:jc w:val="left"/>
        <w:outlineLvl w:val="9"/>
        <w:rPr>
          <w:rFonts w:hint="eastAsia" w:ascii="宋体" w:hAnsi="宋体" w:eastAsia="宋体" w:cs="宋体"/>
          <w:b/>
          <w:bCs/>
          <w:color w:val="auto"/>
          <w:sz w:val="32"/>
          <w:szCs w:val="21"/>
          <w:highlight w:val="none"/>
        </w:rPr>
      </w:pPr>
    </w:p>
    <w:p w14:paraId="47B80C97">
      <w:pPr>
        <w:spacing w:line="240" w:lineRule="auto"/>
        <w:jc w:val="left"/>
        <w:outlineLvl w:val="9"/>
        <w:rPr>
          <w:rFonts w:hint="eastAsia" w:ascii="宋体" w:hAnsi="宋体" w:eastAsia="宋体" w:cs="宋体"/>
          <w:b/>
          <w:bCs/>
          <w:color w:val="auto"/>
          <w:sz w:val="32"/>
          <w:szCs w:val="21"/>
          <w:highlight w:val="none"/>
        </w:rPr>
      </w:pPr>
    </w:p>
    <w:p w14:paraId="353E170C">
      <w:pPr>
        <w:spacing w:line="240" w:lineRule="auto"/>
        <w:jc w:val="left"/>
        <w:outlineLvl w:val="9"/>
        <w:rPr>
          <w:rFonts w:hint="eastAsia" w:ascii="宋体" w:hAnsi="宋体" w:eastAsia="宋体" w:cs="宋体"/>
          <w:b/>
          <w:bCs/>
          <w:color w:val="auto"/>
          <w:sz w:val="32"/>
          <w:szCs w:val="21"/>
          <w:highlight w:val="none"/>
        </w:rPr>
      </w:pPr>
    </w:p>
    <w:p w14:paraId="2DC72D82">
      <w:pPr>
        <w:spacing w:line="240" w:lineRule="auto"/>
        <w:jc w:val="left"/>
        <w:outlineLvl w:val="9"/>
        <w:rPr>
          <w:rFonts w:hint="eastAsia" w:ascii="宋体" w:hAnsi="宋体" w:eastAsia="宋体" w:cs="宋体"/>
          <w:b/>
          <w:bCs/>
          <w:color w:val="auto"/>
          <w:sz w:val="32"/>
          <w:szCs w:val="21"/>
          <w:highlight w:val="none"/>
        </w:rPr>
      </w:pPr>
    </w:p>
    <w:p w14:paraId="3386C245">
      <w:pPr>
        <w:spacing w:line="240" w:lineRule="auto"/>
        <w:jc w:val="left"/>
        <w:outlineLvl w:val="9"/>
        <w:rPr>
          <w:rFonts w:hint="eastAsia" w:ascii="宋体" w:hAnsi="宋体" w:eastAsia="宋体" w:cs="宋体"/>
          <w:b/>
          <w:bCs/>
          <w:color w:val="auto"/>
          <w:sz w:val="32"/>
          <w:szCs w:val="21"/>
          <w:highlight w:val="none"/>
        </w:rPr>
      </w:pPr>
    </w:p>
    <w:p w14:paraId="32C2D400">
      <w:pPr>
        <w:spacing w:line="240" w:lineRule="auto"/>
        <w:jc w:val="left"/>
        <w:outlineLvl w:val="9"/>
        <w:rPr>
          <w:rFonts w:hint="eastAsia" w:ascii="宋体" w:hAnsi="宋体" w:eastAsia="宋体" w:cs="宋体"/>
          <w:b/>
          <w:bCs/>
          <w:color w:val="auto"/>
          <w:sz w:val="32"/>
          <w:szCs w:val="21"/>
          <w:highlight w:val="none"/>
        </w:rPr>
      </w:pPr>
    </w:p>
    <w:p w14:paraId="7DE65F65">
      <w:pPr>
        <w:spacing w:line="240" w:lineRule="auto"/>
        <w:jc w:val="left"/>
        <w:outlineLvl w:val="9"/>
        <w:rPr>
          <w:rFonts w:hint="eastAsia" w:ascii="宋体" w:hAnsi="宋体" w:eastAsia="宋体" w:cs="宋体"/>
          <w:b/>
          <w:bCs/>
          <w:color w:val="auto"/>
          <w:sz w:val="32"/>
          <w:szCs w:val="21"/>
          <w:highlight w:val="none"/>
        </w:rPr>
      </w:pPr>
    </w:p>
    <w:p w14:paraId="0A8D3C4B">
      <w:pPr>
        <w:spacing w:line="240" w:lineRule="auto"/>
        <w:jc w:val="left"/>
        <w:outlineLvl w:val="9"/>
        <w:rPr>
          <w:rFonts w:hint="eastAsia" w:ascii="宋体" w:hAnsi="宋体" w:eastAsia="宋体" w:cs="宋体"/>
          <w:b/>
          <w:bCs/>
          <w:color w:val="auto"/>
          <w:sz w:val="32"/>
          <w:szCs w:val="21"/>
          <w:highlight w:val="none"/>
        </w:rPr>
      </w:pPr>
    </w:p>
    <w:p w14:paraId="2CFA2844">
      <w:pPr>
        <w:spacing w:line="240" w:lineRule="auto"/>
        <w:ind w:firstLine="1446" w:firstLineChars="200"/>
        <w:jc w:val="center"/>
        <w:outlineLvl w:val="9"/>
        <w:rPr>
          <w:rFonts w:hint="default" w:ascii="Times New Roman" w:hAnsi="Times New Roman" w:eastAsia="宋体"/>
          <w:b/>
          <w:bCs/>
          <w:color w:val="auto"/>
          <w:sz w:val="72"/>
          <w:szCs w:val="72"/>
          <w:highlight w:val="none"/>
        </w:rPr>
      </w:pPr>
      <w:r>
        <w:rPr>
          <w:rFonts w:hint="eastAsia"/>
          <w:b/>
          <w:bCs/>
          <w:color w:val="auto"/>
          <w:sz w:val="72"/>
          <w:szCs w:val="72"/>
          <w:highlight w:val="none"/>
          <w:lang w:eastAsia="zh-CN"/>
        </w:rPr>
        <w:t>竞争性磋商</w:t>
      </w:r>
      <w:r>
        <w:rPr>
          <w:rFonts w:hint="default" w:ascii="Times New Roman" w:hAnsi="Times New Roman" w:eastAsia="宋体"/>
          <w:b/>
          <w:bCs/>
          <w:color w:val="auto"/>
          <w:sz w:val="72"/>
          <w:szCs w:val="72"/>
          <w:highlight w:val="none"/>
        </w:rPr>
        <w:t>文件</w:t>
      </w:r>
    </w:p>
    <w:p w14:paraId="39AB2255">
      <w:pPr>
        <w:spacing w:line="240" w:lineRule="auto"/>
        <w:jc w:val="left"/>
        <w:rPr>
          <w:rFonts w:hint="default" w:ascii="Times New Roman" w:eastAsia="宋体"/>
          <w:b/>
          <w:bCs/>
          <w:color w:val="auto"/>
          <w:sz w:val="32"/>
          <w:szCs w:val="21"/>
          <w:highlight w:val="none"/>
        </w:rPr>
      </w:pPr>
    </w:p>
    <w:p w14:paraId="4CA5B672">
      <w:pPr>
        <w:spacing w:line="240" w:lineRule="auto"/>
        <w:jc w:val="left"/>
        <w:rPr>
          <w:rFonts w:hint="default" w:ascii="Times New Roman" w:eastAsia="宋体"/>
          <w:b/>
          <w:bCs/>
          <w:color w:val="auto"/>
          <w:sz w:val="32"/>
          <w:szCs w:val="21"/>
          <w:highlight w:val="none"/>
        </w:rPr>
      </w:pPr>
    </w:p>
    <w:p w14:paraId="412293A9">
      <w:pPr>
        <w:spacing w:line="240" w:lineRule="auto"/>
        <w:ind w:firstLine="0" w:firstLineChars="0"/>
        <w:rPr>
          <w:rFonts w:hint="default" w:ascii="Times New Roman" w:hAnsi="Times New Roman" w:eastAsia="宋体"/>
          <w:b/>
          <w:bCs/>
          <w:color w:val="auto"/>
          <w:sz w:val="32"/>
          <w:szCs w:val="21"/>
          <w:highlight w:val="none"/>
        </w:rPr>
      </w:pPr>
    </w:p>
    <w:p w14:paraId="610E7C52">
      <w:pPr>
        <w:spacing w:line="240" w:lineRule="auto"/>
        <w:ind w:firstLine="0" w:firstLineChars="0"/>
        <w:rPr>
          <w:rFonts w:hint="default" w:ascii="Times New Roman" w:hAnsi="Times New Roman" w:eastAsia="宋体"/>
          <w:b/>
          <w:bCs/>
          <w:color w:val="auto"/>
          <w:sz w:val="32"/>
          <w:szCs w:val="21"/>
          <w:highlight w:val="none"/>
        </w:rPr>
      </w:pPr>
    </w:p>
    <w:p w14:paraId="7FF8295C">
      <w:pPr>
        <w:spacing w:line="240" w:lineRule="auto"/>
        <w:ind w:firstLine="0" w:firstLineChars="0"/>
        <w:rPr>
          <w:rFonts w:hint="default" w:ascii="Times New Roman" w:hAnsi="Times New Roman" w:eastAsia="宋体"/>
          <w:b/>
          <w:bCs/>
          <w:color w:val="auto"/>
          <w:sz w:val="32"/>
          <w:szCs w:val="21"/>
          <w:highlight w:val="none"/>
        </w:rPr>
      </w:pPr>
    </w:p>
    <w:p w14:paraId="722C8A27">
      <w:pPr>
        <w:spacing w:line="240" w:lineRule="auto"/>
        <w:ind w:firstLine="0" w:firstLineChars="0"/>
        <w:rPr>
          <w:rFonts w:hint="default" w:ascii="Times New Roman" w:hAnsi="Times New Roman" w:eastAsia="宋体"/>
          <w:b/>
          <w:bCs/>
          <w:color w:val="auto"/>
          <w:sz w:val="32"/>
          <w:szCs w:val="21"/>
          <w:highlight w:val="none"/>
        </w:rPr>
      </w:pPr>
    </w:p>
    <w:p w14:paraId="31EDC050">
      <w:pPr>
        <w:spacing w:line="240" w:lineRule="auto"/>
        <w:ind w:firstLine="0" w:firstLineChars="0"/>
        <w:rPr>
          <w:rFonts w:hint="default" w:ascii="Times New Roman" w:hAnsi="Times New Roman" w:eastAsia="宋体"/>
          <w:b/>
          <w:bCs/>
          <w:color w:val="auto"/>
          <w:sz w:val="32"/>
          <w:szCs w:val="21"/>
          <w:highlight w:val="none"/>
        </w:rPr>
      </w:pPr>
    </w:p>
    <w:p w14:paraId="60E95FB5">
      <w:pPr>
        <w:spacing w:line="240" w:lineRule="auto"/>
        <w:ind w:firstLine="0" w:firstLineChars="0"/>
        <w:rPr>
          <w:rFonts w:hint="default" w:ascii="Times New Roman" w:hAnsi="Times New Roman" w:eastAsia="宋体"/>
          <w:b/>
          <w:bCs/>
          <w:color w:val="auto"/>
          <w:sz w:val="32"/>
          <w:szCs w:val="21"/>
          <w:highlight w:val="none"/>
        </w:rPr>
      </w:pPr>
    </w:p>
    <w:p w14:paraId="0D9BB2CF">
      <w:pPr>
        <w:spacing w:line="240" w:lineRule="auto"/>
        <w:ind w:firstLine="0" w:firstLineChars="0"/>
        <w:rPr>
          <w:rFonts w:hint="default" w:ascii="Times New Roman" w:hAnsi="Times New Roman" w:eastAsia="宋体"/>
          <w:b/>
          <w:bCs/>
          <w:color w:val="auto"/>
          <w:sz w:val="32"/>
          <w:szCs w:val="21"/>
          <w:highlight w:val="none"/>
        </w:rPr>
      </w:pPr>
    </w:p>
    <w:p w14:paraId="02B3AA68">
      <w:pPr>
        <w:spacing w:line="240" w:lineRule="auto"/>
        <w:ind w:firstLine="0" w:firstLineChars="0"/>
        <w:rPr>
          <w:rFonts w:hint="default" w:ascii="Times New Roman" w:hAnsi="Times New Roman" w:eastAsia="宋体"/>
          <w:b/>
          <w:bCs/>
          <w:color w:val="auto"/>
          <w:sz w:val="32"/>
          <w:szCs w:val="21"/>
          <w:highlight w:val="none"/>
        </w:rPr>
      </w:pPr>
    </w:p>
    <w:p w14:paraId="55FF722C">
      <w:pPr>
        <w:spacing w:line="240" w:lineRule="auto"/>
        <w:jc w:val="left"/>
        <w:rPr>
          <w:rFonts w:hint="default" w:ascii="Times New Roman" w:hAnsi="Times New Roman" w:eastAsia="宋体"/>
          <w:b/>
          <w:bCs/>
          <w:color w:val="auto"/>
          <w:sz w:val="32"/>
          <w:szCs w:val="21"/>
          <w:highlight w:val="none"/>
        </w:rPr>
      </w:pPr>
    </w:p>
    <w:p w14:paraId="225326E8">
      <w:pPr>
        <w:spacing w:line="360" w:lineRule="auto"/>
        <w:ind w:firstLine="643" w:firstLineChars="200"/>
        <w:jc w:val="center"/>
        <w:outlineLvl w:val="9"/>
        <w:rPr>
          <w:rFonts w:hint="eastAsia" w:ascii="宋体" w:hAnsi="宋体" w:eastAsia="宋体" w:cs="宋体"/>
          <w:b/>
          <w:bCs/>
          <w:color w:val="auto"/>
          <w:sz w:val="32"/>
          <w:szCs w:val="21"/>
          <w:highlight w:val="none"/>
          <w:lang w:val="en-US" w:eastAsia="zh-CN"/>
        </w:rPr>
      </w:pPr>
      <w:r>
        <w:rPr>
          <w:rFonts w:hint="eastAsia" w:ascii="宋体" w:hAnsi="宋体" w:eastAsia="宋体" w:cs="宋体"/>
          <w:b/>
          <w:bCs/>
          <w:color w:val="auto"/>
          <w:sz w:val="32"/>
          <w:szCs w:val="21"/>
          <w:highlight w:val="none"/>
        </w:rPr>
        <w:t>采购人：</w:t>
      </w:r>
      <w:r>
        <w:rPr>
          <w:rFonts w:hint="eastAsia" w:ascii="宋体" w:hAnsi="宋体" w:eastAsia="宋体" w:cs="宋体"/>
          <w:b/>
          <w:bCs/>
          <w:color w:val="auto"/>
          <w:sz w:val="32"/>
          <w:szCs w:val="21"/>
          <w:highlight w:val="none"/>
          <w:lang w:val="en-US" w:eastAsia="zh-CN"/>
        </w:rPr>
        <w:t>巫山县中医院</w:t>
      </w:r>
    </w:p>
    <w:p w14:paraId="5E14F867">
      <w:pPr>
        <w:spacing w:line="360" w:lineRule="auto"/>
        <w:jc w:val="center"/>
        <w:outlineLvl w:val="9"/>
        <w:rPr>
          <w:rFonts w:hint="eastAsia" w:ascii="宋体" w:hAnsi="宋体" w:eastAsia="宋体" w:cs="宋体"/>
          <w:b/>
          <w:bCs/>
          <w:color w:val="auto"/>
          <w:sz w:val="32"/>
          <w:szCs w:val="21"/>
          <w:highlight w:val="none"/>
        </w:rPr>
      </w:pPr>
    </w:p>
    <w:p w14:paraId="25D016FD">
      <w:pPr>
        <w:spacing w:line="360" w:lineRule="auto"/>
        <w:ind w:firstLine="643" w:firstLineChars="200"/>
        <w:jc w:val="center"/>
        <w:outlineLvl w:val="9"/>
        <w:rPr>
          <w:rFonts w:hint="eastAsia"/>
          <w:color w:val="auto"/>
          <w:highlight w:val="none"/>
        </w:rPr>
        <w:sectPr>
          <w:headerReference r:id="rId4" w:type="first"/>
          <w:footerReference r:id="rId6" w:type="first"/>
          <w:headerReference r:id="rId3" w:type="default"/>
          <w:footerReference r:id="rId5" w:type="default"/>
          <w:pgSz w:w="11907" w:h="16840"/>
          <w:pgMar w:top="1134" w:right="1191" w:bottom="1134" w:left="1304" w:header="851" w:footer="992" w:gutter="0"/>
          <w:pgNumType w:fmt="numberInDash" w:start="1"/>
          <w:cols w:space="720" w:num="1"/>
          <w:titlePg/>
          <w:docGrid w:linePitch="381" w:charSpace="-5735"/>
        </w:sectPr>
      </w:pPr>
      <w:r>
        <w:rPr>
          <w:rFonts w:hint="eastAsia" w:ascii="宋体" w:hAnsi="宋体" w:eastAsia="宋体" w:cs="宋体"/>
          <w:b/>
          <w:bCs/>
          <w:color w:val="auto"/>
          <w:sz w:val="32"/>
          <w:szCs w:val="21"/>
          <w:highlight w:val="none"/>
        </w:rPr>
        <w:t>二〇二</w:t>
      </w:r>
      <w:r>
        <w:rPr>
          <w:rFonts w:hint="eastAsia" w:ascii="宋体" w:hAnsi="宋体" w:eastAsia="宋体" w:cs="宋体"/>
          <w:b/>
          <w:bCs/>
          <w:color w:val="auto"/>
          <w:sz w:val="32"/>
          <w:szCs w:val="21"/>
          <w:highlight w:val="none"/>
          <w:lang w:val="en-US" w:eastAsia="zh-CN"/>
        </w:rPr>
        <w:t>六</w:t>
      </w:r>
      <w:r>
        <w:rPr>
          <w:rFonts w:hint="eastAsia" w:ascii="宋体" w:hAnsi="宋体" w:eastAsia="宋体" w:cs="宋体"/>
          <w:b/>
          <w:bCs/>
          <w:color w:val="auto"/>
          <w:sz w:val="32"/>
          <w:szCs w:val="21"/>
          <w:highlight w:val="none"/>
        </w:rPr>
        <w:t>年</w:t>
      </w:r>
      <w:r>
        <w:rPr>
          <w:rFonts w:hint="eastAsia" w:ascii="宋体" w:hAnsi="宋体" w:cs="宋体"/>
          <w:b/>
          <w:bCs/>
          <w:color w:val="auto"/>
          <w:sz w:val="32"/>
          <w:szCs w:val="21"/>
          <w:highlight w:val="none"/>
          <w:lang w:val="en-US" w:eastAsia="zh-CN"/>
        </w:rPr>
        <w:t>八</w:t>
      </w:r>
      <w:r>
        <w:rPr>
          <w:rFonts w:hint="eastAsia" w:ascii="宋体" w:hAnsi="宋体" w:eastAsia="宋体" w:cs="宋体"/>
          <w:b/>
          <w:bCs/>
          <w:color w:val="auto"/>
          <w:sz w:val="32"/>
          <w:szCs w:val="21"/>
          <w:highlight w:val="none"/>
        </w:rPr>
        <w:t>月</w:t>
      </w:r>
    </w:p>
    <w:sdt>
      <w:sdtPr>
        <w:rPr>
          <w:rFonts w:ascii="宋体" w:hAnsi="宋体" w:eastAsia="宋体" w:cs="Times New Roman"/>
          <w:b/>
          <w:bCs/>
          <w:color w:val="auto"/>
          <w:kern w:val="2"/>
          <w:sz w:val="52"/>
          <w:szCs w:val="52"/>
          <w:highlight w:val="none"/>
          <w:lang w:val="en-US" w:eastAsia="zh-CN" w:bidi="ar-SA"/>
        </w:rPr>
        <w:id w:val="147482441"/>
        <w15:color w:val="DBDBDB"/>
        <w:docPartObj>
          <w:docPartGallery w:val="Table of Contents"/>
          <w:docPartUnique/>
        </w:docPartObj>
      </w:sdtPr>
      <w:sdtEndPr>
        <w:rPr>
          <w:rFonts w:hint="eastAsia" w:ascii="Times New Roman" w:hAnsi="Times New Roman" w:eastAsia="宋体" w:cs="Times New Roman"/>
          <w:b/>
          <w:bCs/>
          <w:color w:val="auto"/>
          <w:kern w:val="2"/>
          <w:sz w:val="44"/>
          <w:szCs w:val="52"/>
          <w:highlight w:val="none"/>
          <w:lang w:val="en-US" w:eastAsia="zh-CN" w:bidi="ar-SA"/>
        </w:rPr>
      </w:sdtEndPr>
      <w:sdtContent>
        <w:p w14:paraId="3C9F02ED">
          <w:pPr>
            <w:spacing w:before="0" w:beforeLines="0" w:after="0" w:afterLines="0" w:line="240" w:lineRule="auto"/>
            <w:ind w:left="0" w:leftChars="0" w:right="0" w:rightChars="0" w:firstLine="1044" w:firstLineChars="200"/>
            <w:jc w:val="center"/>
            <w:rPr>
              <w:b/>
              <w:bCs/>
              <w:color w:val="auto"/>
              <w:sz w:val="52"/>
              <w:szCs w:val="52"/>
              <w:highlight w:val="none"/>
            </w:rPr>
          </w:pPr>
          <w:r>
            <w:rPr>
              <w:rFonts w:ascii="宋体" w:hAnsi="宋体" w:eastAsia="宋体"/>
              <w:b/>
              <w:bCs/>
              <w:color w:val="auto"/>
              <w:sz w:val="52"/>
              <w:szCs w:val="52"/>
              <w:highlight w:val="none"/>
            </w:rPr>
            <w:t>目录</w:t>
          </w:r>
        </w:p>
        <w:p w14:paraId="795B60DC">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TOC \o "1-2" \h \u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HYPERLINK \l _Toc11009 </w:instrText>
          </w:r>
          <w:r>
            <w:rPr>
              <w:rFonts w:hint="eastAsia"/>
              <w:color w:val="auto"/>
              <w:highlight w:val="none"/>
            </w:rPr>
            <w:fldChar w:fldCharType="separate"/>
          </w:r>
          <w:r>
            <w:rPr>
              <w:rFonts w:hint="eastAsia" w:ascii="宋体" w:hAnsi="宋体" w:eastAsia="宋体" w:cs="宋体"/>
              <w:bCs/>
              <w:color w:val="auto"/>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_Toc11009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fldChar w:fldCharType="end"/>
          </w:r>
        </w:p>
        <w:p w14:paraId="71E7C50C">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_Toc14272 </w:instrText>
          </w:r>
          <w:r>
            <w:rPr>
              <w:rFonts w:hint="eastAsia"/>
              <w:color w:val="auto"/>
              <w:highlight w:val="none"/>
            </w:rPr>
            <w:fldChar w:fldCharType="separate"/>
          </w:r>
          <w:r>
            <w:rPr>
              <w:rFonts w:hint="eastAsia" w:ascii="宋体" w:hAnsi="宋体" w:eastAsia="宋体" w:cs="宋体"/>
              <w:color w:val="auto"/>
              <w:szCs w:val="24"/>
              <w:highlight w:val="none"/>
            </w:rPr>
            <w:t>一、</w:t>
          </w:r>
          <w:r>
            <w:rPr>
              <w:rFonts w:hint="eastAsia" w:ascii="宋体" w:hAnsi="宋体" w:eastAsia="宋体" w:cs="宋体"/>
              <w:color w:val="auto"/>
              <w:szCs w:val="24"/>
              <w:highlight w:val="none"/>
              <w:lang w:val="en-US" w:eastAsia="zh-CN"/>
            </w:rPr>
            <w:t>采购</w:t>
          </w:r>
          <w:r>
            <w:rPr>
              <w:rFonts w:hint="eastAsia" w:ascii="宋体" w:hAnsi="宋体" w:eastAsia="宋体" w:cs="宋体"/>
              <w:color w:val="auto"/>
              <w:szCs w:val="24"/>
              <w:highlight w:val="none"/>
            </w:rPr>
            <w:t>内容</w:t>
          </w:r>
          <w:r>
            <w:rPr>
              <w:color w:val="auto"/>
              <w:highlight w:val="none"/>
            </w:rPr>
            <w:tab/>
          </w:r>
          <w:r>
            <w:rPr>
              <w:color w:val="auto"/>
              <w:highlight w:val="none"/>
            </w:rPr>
            <w:fldChar w:fldCharType="begin"/>
          </w:r>
          <w:r>
            <w:rPr>
              <w:color w:val="auto"/>
              <w:highlight w:val="none"/>
            </w:rPr>
            <w:instrText xml:space="preserve"> PAGEREF _Toc14272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fldChar w:fldCharType="end"/>
          </w:r>
        </w:p>
        <w:p w14:paraId="2D3A64B4">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_Toc20460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二、资金来源</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_Toc20460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78869CEE">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_Toc1047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三、供应商资格条件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_Toc1047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54773CAE">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_Toc6603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四、磋商有关说明</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_Toc6603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394A1CF5">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_Toc20102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五、其他有关规定</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_Toc20102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2</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77FEC57">
          <w:pPr>
            <w:pStyle w:val="46"/>
            <w:tabs>
              <w:tab w:val="right" w:leader="dot" w:pos="9412"/>
            </w:tabs>
            <w:ind w:firstLine="560" w:firstLineChars="200"/>
            <w:rPr>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_Toc4996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六</w:t>
          </w:r>
          <w:r>
            <w:rPr>
              <w:rFonts w:hint="eastAsia" w:ascii="Times New Roman" w:hAnsi="Times New Roman" w:eastAsia="宋体" w:cs="Times New Roman"/>
              <w:color w:val="auto"/>
              <w:highlight w:val="none"/>
            </w:rPr>
            <w:t>、联系方式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_Toc4996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2</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16F8FD9E">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_Toc698 </w:instrText>
          </w:r>
          <w:r>
            <w:rPr>
              <w:rFonts w:hint="eastAsia"/>
              <w:color w:val="auto"/>
              <w:highlight w:val="none"/>
            </w:rPr>
            <w:fldChar w:fldCharType="separate"/>
          </w:r>
          <w:r>
            <w:rPr>
              <w:rFonts w:hint="eastAsia" w:ascii="宋体" w:hAnsi="宋体" w:eastAsia="宋体" w:cs="宋体"/>
              <w:bCs/>
              <w:color w:val="auto"/>
              <w:highlight w:val="none"/>
            </w:rPr>
            <w:t>第二篇  项目服务需求</w:t>
          </w:r>
          <w:r>
            <w:rPr>
              <w:color w:val="auto"/>
              <w:highlight w:val="none"/>
            </w:rPr>
            <w:tab/>
          </w:r>
          <w:r>
            <w:rPr>
              <w:color w:val="auto"/>
              <w:highlight w:val="none"/>
            </w:rPr>
            <w:fldChar w:fldCharType="begin"/>
          </w:r>
          <w:r>
            <w:rPr>
              <w:color w:val="auto"/>
              <w:highlight w:val="none"/>
            </w:rPr>
            <w:instrText xml:space="preserve"> PAGEREF _Toc698 \h </w:instrText>
          </w:r>
          <w:r>
            <w:rPr>
              <w:color w:val="auto"/>
              <w:highlight w:val="none"/>
            </w:rPr>
            <w:fldChar w:fldCharType="separate"/>
          </w:r>
          <w:r>
            <w:rPr>
              <w:color w:val="auto"/>
              <w:highlight w:val="none"/>
            </w:rPr>
            <w:t>3</w:t>
          </w:r>
          <w:r>
            <w:rPr>
              <w:color w:val="auto"/>
              <w:highlight w:val="none"/>
            </w:rPr>
            <w:fldChar w:fldCharType="end"/>
          </w:r>
          <w:r>
            <w:rPr>
              <w:rFonts w:hint="eastAsia"/>
              <w:color w:val="auto"/>
              <w:highlight w:val="none"/>
            </w:rPr>
            <w:fldChar w:fldCharType="end"/>
          </w:r>
        </w:p>
        <w:p w14:paraId="134A07C4">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_Toc30388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一、采购服务内容</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_Toc30388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17213D93">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_Toc18135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二、护工服务监管及考核</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_Toc18135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05DAA7D9">
          <w:pPr>
            <w:pStyle w:val="46"/>
            <w:tabs>
              <w:tab w:val="right" w:leader="dot" w:pos="9412"/>
            </w:tabs>
            <w:ind w:firstLine="560" w:firstLineChars="200"/>
            <w:rPr>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_Toc21410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三、公益性岗位服务监管及考核</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_Toc21410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7</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D37D5D7">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_Toc18515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lang w:val="en-US" w:eastAsia="zh-CN"/>
            </w:rPr>
            <w:t>四、其他</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_Toc18515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9</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DC6638D">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_Toc9170 </w:instrText>
          </w:r>
          <w:r>
            <w:rPr>
              <w:rFonts w:hint="eastAsia"/>
              <w:color w:val="auto"/>
              <w:highlight w:val="none"/>
            </w:rPr>
            <w:fldChar w:fldCharType="separate"/>
          </w:r>
          <w:r>
            <w:rPr>
              <w:rFonts w:hint="eastAsia" w:ascii="宋体" w:hAnsi="宋体" w:eastAsia="宋体" w:cs="宋体"/>
              <w:color w:val="auto"/>
              <w:highlight w:val="none"/>
            </w:rPr>
            <w:t>第三篇  项目商务需求</w:t>
          </w:r>
          <w:r>
            <w:rPr>
              <w:color w:val="auto"/>
              <w:highlight w:val="none"/>
            </w:rPr>
            <w:tab/>
          </w:r>
          <w:r>
            <w:rPr>
              <w:color w:val="auto"/>
              <w:highlight w:val="none"/>
            </w:rPr>
            <w:fldChar w:fldCharType="begin"/>
          </w:r>
          <w:r>
            <w:rPr>
              <w:color w:val="auto"/>
              <w:highlight w:val="none"/>
            </w:rPr>
            <w:instrText xml:space="preserve"> PAGEREF _Toc9170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rPr>
            <w:fldChar w:fldCharType="end"/>
          </w:r>
        </w:p>
        <w:p w14:paraId="43CE7840">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_Toc430 </w:instrText>
          </w:r>
          <w:r>
            <w:rPr>
              <w:rFonts w:hint="eastAsia"/>
              <w:color w:val="auto"/>
              <w:highlight w:val="none"/>
            </w:rPr>
            <w:fldChar w:fldCharType="separate"/>
          </w:r>
          <w:r>
            <w:rPr>
              <w:rFonts w:hint="eastAsia" w:ascii="宋体" w:hAnsi="宋体" w:eastAsia="宋体" w:cs="宋体"/>
              <w:color w:val="auto"/>
              <w:szCs w:val="24"/>
              <w:highlight w:val="none"/>
            </w:rPr>
            <w:t>一、服务</w:t>
          </w:r>
          <w:r>
            <w:rPr>
              <w:rFonts w:hint="eastAsia" w:ascii="宋体" w:hAnsi="宋体" w:eastAsia="宋体" w:cs="宋体"/>
              <w:color w:val="auto"/>
              <w:szCs w:val="24"/>
              <w:highlight w:val="none"/>
              <w:lang w:val="en-US" w:eastAsia="zh-CN"/>
            </w:rPr>
            <w:t>期</w:t>
          </w:r>
          <w:r>
            <w:rPr>
              <w:rFonts w:hint="eastAsia" w:ascii="宋体" w:hAnsi="宋体" w:eastAsia="宋体" w:cs="宋体"/>
              <w:color w:val="auto"/>
              <w:szCs w:val="24"/>
              <w:highlight w:val="none"/>
            </w:rPr>
            <w:t>、地点及验收方式</w:t>
          </w:r>
          <w:r>
            <w:rPr>
              <w:color w:val="auto"/>
              <w:highlight w:val="none"/>
            </w:rPr>
            <w:tab/>
          </w:r>
          <w:r>
            <w:rPr>
              <w:color w:val="auto"/>
              <w:highlight w:val="none"/>
            </w:rPr>
            <w:fldChar w:fldCharType="begin"/>
          </w:r>
          <w:r>
            <w:rPr>
              <w:color w:val="auto"/>
              <w:highlight w:val="none"/>
            </w:rPr>
            <w:instrText xml:space="preserve"> PAGEREF _Toc430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rPr>
            <w:fldChar w:fldCharType="end"/>
          </w:r>
        </w:p>
        <w:p w14:paraId="438EA17A">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_Toc28481 </w:instrText>
          </w:r>
          <w:r>
            <w:rPr>
              <w:rFonts w:hint="eastAsia"/>
              <w:color w:val="auto"/>
              <w:highlight w:val="none"/>
            </w:rPr>
            <w:fldChar w:fldCharType="separate"/>
          </w:r>
          <w:r>
            <w:rPr>
              <w:rFonts w:hint="eastAsia" w:ascii="宋体" w:hAnsi="宋体" w:eastAsia="宋体" w:cs="宋体"/>
              <w:color w:val="auto"/>
              <w:szCs w:val="24"/>
              <w:highlight w:val="none"/>
            </w:rPr>
            <w:t>二、报价要求</w:t>
          </w:r>
          <w:r>
            <w:rPr>
              <w:color w:val="auto"/>
              <w:highlight w:val="none"/>
            </w:rPr>
            <w:tab/>
          </w:r>
          <w:r>
            <w:rPr>
              <w:color w:val="auto"/>
              <w:highlight w:val="none"/>
            </w:rPr>
            <w:fldChar w:fldCharType="begin"/>
          </w:r>
          <w:r>
            <w:rPr>
              <w:color w:val="auto"/>
              <w:highlight w:val="none"/>
            </w:rPr>
            <w:instrText xml:space="preserve"> PAGEREF _Toc28481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rPr>
            <w:fldChar w:fldCharType="end"/>
          </w:r>
        </w:p>
        <w:p w14:paraId="085B8992">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_Toc18563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三、付款方式</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_Toc18563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10</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3DBFCA70">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_Toc28798 </w:instrText>
          </w:r>
          <w:r>
            <w:rPr>
              <w:rFonts w:hint="eastAsia"/>
              <w:color w:val="auto"/>
              <w:highlight w:val="none"/>
            </w:rPr>
            <w:fldChar w:fldCharType="separate"/>
          </w:r>
          <w:r>
            <w:rPr>
              <w:rFonts w:hint="eastAsia" w:ascii="宋体" w:hAnsi="宋体" w:eastAsia="宋体" w:cs="宋体"/>
              <w:color w:val="auto"/>
              <w:szCs w:val="24"/>
              <w:highlight w:val="none"/>
            </w:rPr>
            <w:t>四、知识产权</w:t>
          </w:r>
          <w:r>
            <w:rPr>
              <w:color w:val="auto"/>
              <w:highlight w:val="none"/>
            </w:rPr>
            <w:tab/>
          </w:r>
          <w:r>
            <w:rPr>
              <w:color w:val="auto"/>
              <w:highlight w:val="none"/>
            </w:rPr>
            <w:fldChar w:fldCharType="begin"/>
          </w:r>
          <w:r>
            <w:rPr>
              <w:color w:val="auto"/>
              <w:highlight w:val="none"/>
            </w:rPr>
            <w:instrText xml:space="preserve"> PAGEREF _Toc28798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rPr>
            <w:fldChar w:fldCharType="end"/>
          </w:r>
        </w:p>
        <w:p w14:paraId="4F9F5130">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_Toc20540 </w:instrText>
          </w:r>
          <w:r>
            <w:rPr>
              <w:rFonts w:hint="eastAsia"/>
              <w:color w:val="auto"/>
              <w:highlight w:val="none"/>
            </w:rPr>
            <w:fldChar w:fldCharType="separate"/>
          </w:r>
          <w:r>
            <w:rPr>
              <w:rFonts w:hint="eastAsia" w:ascii="宋体" w:hAnsi="宋体" w:eastAsia="宋体" w:cs="宋体"/>
              <w:color w:val="auto"/>
              <w:szCs w:val="24"/>
              <w:highlight w:val="none"/>
            </w:rPr>
            <w:t>五、其他</w:t>
          </w:r>
          <w:r>
            <w:rPr>
              <w:color w:val="auto"/>
              <w:highlight w:val="none"/>
            </w:rPr>
            <w:tab/>
          </w:r>
          <w:r>
            <w:rPr>
              <w:color w:val="auto"/>
              <w:highlight w:val="none"/>
            </w:rPr>
            <w:fldChar w:fldCharType="begin"/>
          </w:r>
          <w:r>
            <w:rPr>
              <w:color w:val="auto"/>
              <w:highlight w:val="none"/>
            </w:rPr>
            <w:instrText xml:space="preserve"> PAGEREF _Toc20540 \h </w:instrText>
          </w:r>
          <w:r>
            <w:rPr>
              <w:color w:val="auto"/>
              <w:highlight w:val="none"/>
            </w:rPr>
            <w:fldChar w:fldCharType="separate"/>
          </w:r>
          <w:r>
            <w:rPr>
              <w:color w:val="auto"/>
              <w:highlight w:val="none"/>
            </w:rPr>
            <w:t>11</w:t>
          </w:r>
          <w:r>
            <w:rPr>
              <w:color w:val="auto"/>
              <w:highlight w:val="none"/>
            </w:rPr>
            <w:fldChar w:fldCharType="end"/>
          </w:r>
          <w:r>
            <w:rPr>
              <w:rFonts w:hint="eastAsia"/>
              <w:color w:val="auto"/>
              <w:highlight w:val="none"/>
            </w:rPr>
            <w:fldChar w:fldCharType="end"/>
          </w:r>
        </w:p>
        <w:p w14:paraId="1D68AA86">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_Toc4385 </w:instrText>
          </w:r>
          <w:r>
            <w:rPr>
              <w:rFonts w:hint="eastAsia"/>
              <w:color w:val="auto"/>
              <w:highlight w:val="none"/>
            </w:rPr>
            <w:fldChar w:fldCharType="separate"/>
          </w:r>
          <w:r>
            <w:rPr>
              <w:rFonts w:hint="eastAsia" w:ascii="宋体" w:hAnsi="宋体" w:eastAsia="宋体" w:cs="宋体"/>
              <w:bCs/>
              <w:color w:val="auto"/>
              <w:highlight w:val="none"/>
              <w:lang w:val="en-US" w:eastAsia="zh-CN"/>
            </w:rPr>
            <w:t xml:space="preserve">第四篇  </w:t>
          </w:r>
          <w:r>
            <w:rPr>
              <w:rFonts w:hint="eastAsia" w:cs="宋体"/>
              <w:bCs/>
              <w:color w:val="auto"/>
              <w:highlight w:val="none"/>
              <w:lang w:val="en-US" w:eastAsia="zh-CN"/>
            </w:rPr>
            <w:t>磋商</w:t>
          </w:r>
          <w:r>
            <w:rPr>
              <w:rFonts w:hint="eastAsia" w:ascii="宋体" w:hAnsi="宋体" w:eastAsia="宋体" w:cs="宋体"/>
              <w:bCs/>
              <w:color w:val="auto"/>
              <w:highlight w:val="none"/>
              <w:lang w:val="en-US" w:eastAsia="zh-CN"/>
            </w:rPr>
            <w:t>程序及方法、评审标准、无效响应和采购终止</w:t>
          </w:r>
          <w:r>
            <w:rPr>
              <w:color w:val="auto"/>
              <w:highlight w:val="none"/>
            </w:rPr>
            <w:tab/>
          </w:r>
          <w:r>
            <w:rPr>
              <w:color w:val="auto"/>
              <w:highlight w:val="none"/>
            </w:rPr>
            <w:fldChar w:fldCharType="begin"/>
          </w:r>
          <w:r>
            <w:rPr>
              <w:color w:val="auto"/>
              <w:highlight w:val="none"/>
            </w:rPr>
            <w:instrText xml:space="preserve"> PAGEREF _Toc4385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rPr>
            <w:fldChar w:fldCharType="end"/>
          </w:r>
        </w:p>
        <w:p w14:paraId="5EE7FCB4">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_Toc14468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一、</w:t>
          </w:r>
          <w:r>
            <w:rPr>
              <w:rFonts w:hint="eastAsia" w:ascii="Times New Roman" w:hAnsi="Times New Roman" w:eastAsia="宋体" w:cs="Times New Roman"/>
              <w:color w:val="auto"/>
              <w:highlight w:val="none"/>
              <w:lang w:eastAsia="zh-CN"/>
            </w:rPr>
            <w:t>磋商</w:t>
          </w:r>
          <w:r>
            <w:rPr>
              <w:rFonts w:hint="eastAsia" w:ascii="Times New Roman" w:hAnsi="Times New Roman" w:eastAsia="宋体" w:cs="Times New Roman"/>
              <w:color w:val="auto"/>
              <w:highlight w:val="none"/>
            </w:rPr>
            <w:t>程序及方法</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_Toc14468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12</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7654B197">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_Toc9434 </w:instrText>
          </w:r>
          <w:r>
            <w:rPr>
              <w:rFonts w:hint="eastAsia"/>
              <w:color w:val="auto"/>
              <w:highlight w:val="none"/>
            </w:rPr>
            <w:fldChar w:fldCharType="separate"/>
          </w:r>
          <w:r>
            <w:rPr>
              <w:rFonts w:hint="eastAsia" w:ascii="宋体" w:hAnsi="宋体" w:eastAsia="宋体" w:cs="宋体"/>
              <w:color w:val="auto"/>
              <w:szCs w:val="24"/>
              <w:highlight w:val="none"/>
            </w:rPr>
            <w:t>二、评审标准</w:t>
          </w:r>
          <w:r>
            <w:rPr>
              <w:color w:val="auto"/>
              <w:highlight w:val="none"/>
            </w:rPr>
            <w:tab/>
          </w:r>
          <w:r>
            <w:rPr>
              <w:color w:val="auto"/>
              <w:highlight w:val="none"/>
            </w:rPr>
            <w:fldChar w:fldCharType="begin"/>
          </w:r>
          <w:r>
            <w:rPr>
              <w:color w:val="auto"/>
              <w:highlight w:val="none"/>
            </w:rPr>
            <w:instrText xml:space="preserve"> PAGEREF _Toc9434 \h </w:instrText>
          </w:r>
          <w:r>
            <w:rPr>
              <w:color w:val="auto"/>
              <w:highlight w:val="none"/>
            </w:rPr>
            <w:fldChar w:fldCharType="separate"/>
          </w:r>
          <w:r>
            <w:rPr>
              <w:color w:val="auto"/>
              <w:highlight w:val="none"/>
            </w:rPr>
            <w:t>14</w:t>
          </w:r>
          <w:r>
            <w:rPr>
              <w:color w:val="auto"/>
              <w:highlight w:val="none"/>
            </w:rPr>
            <w:fldChar w:fldCharType="end"/>
          </w:r>
          <w:r>
            <w:rPr>
              <w:rFonts w:hint="eastAsia"/>
              <w:color w:val="auto"/>
              <w:highlight w:val="none"/>
            </w:rPr>
            <w:fldChar w:fldCharType="end"/>
          </w:r>
        </w:p>
        <w:p w14:paraId="003BC07E">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_Toc5706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三、无效响应</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_Toc5706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14</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225EB3C4">
          <w:pPr>
            <w:pStyle w:val="46"/>
            <w:tabs>
              <w:tab w:val="right" w:leader="dot" w:pos="9412"/>
            </w:tabs>
            <w:ind w:firstLine="560" w:firstLineChars="200"/>
            <w:rPr>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_Toc17615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四、采购终止</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_Toc17615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EFFE3AD">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_Toc32308 </w:instrText>
          </w:r>
          <w:r>
            <w:rPr>
              <w:rFonts w:hint="eastAsia"/>
              <w:color w:val="auto"/>
              <w:highlight w:val="none"/>
            </w:rPr>
            <w:fldChar w:fldCharType="separate"/>
          </w:r>
          <w:r>
            <w:rPr>
              <w:rFonts w:hint="eastAsia" w:ascii="宋体" w:hAnsi="宋体" w:eastAsia="宋体" w:cs="宋体"/>
              <w:color w:val="auto"/>
              <w:highlight w:val="none"/>
            </w:rPr>
            <w:t>第五篇  供应商须知</w:t>
          </w:r>
          <w:r>
            <w:rPr>
              <w:color w:val="auto"/>
              <w:highlight w:val="none"/>
            </w:rPr>
            <w:tab/>
          </w:r>
          <w:r>
            <w:rPr>
              <w:color w:val="auto"/>
              <w:highlight w:val="none"/>
            </w:rPr>
            <w:fldChar w:fldCharType="begin"/>
          </w:r>
          <w:r>
            <w:rPr>
              <w:color w:val="auto"/>
              <w:highlight w:val="none"/>
            </w:rPr>
            <w:instrText xml:space="preserve"> PAGEREF _Toc32308 \h </w:instrText>
          </w:r>
          <w:r>
            <w:rPr>
              <w:color w:val="auto"/>
              <w:highlight w:val="none"/>
            </w:rPr>
            <w:fldChar w:fldCharType="separate"/>
          </w:r>
          <w:r>
            <w:rPr>
              <w:color w:val="auto"/>
              <w:highlight w:val="none"/>
            </w:rPr>
            <w:t>16</w:t>
          </w:r>
          <w:r>
            <w:rPr>
              <w:color w:val="auto"/>
              <w:highlight w:val="none"/>
            </w:rPr>
            <w:fldChar w:fldCharType="end"/>
          </w:r>
          <w:r>
            <w:rPr>
              <w:rFonts w:hint="eastAsia"/>
              <w:color w:val="auto"/>
              <w:highlight w:val="none"/>
            </w:rPr>
            <w:fldChar w:fldCharType="end"/>
          </w:r>
        </w:p>
        <w:p w14:paraId="38FFE397">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_Toc23262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一、</w:t>
          </w:r>
          <w:r>
            <w:rPr>
              <w:rFonts w:hint="eastAsia" w:ascii="Times New Roman" w:hAnsi="Times New Roman" w:eastAsia="宋体" w:cs="Times New Roman"/>
              <w:color w:val="auto"/>
              <w:highlight w:val="none"/>
              <w:lang w:eastAsia="zh-CN"/>
            </w:rPr>
            <w:t>磋商</w:t>
          </w:r>
          <w:r>
            <w:rPr>
              <w:rFonts w:hint="eastAsia" w:ascii="Times New Roman" w:hAnsi="Times New Roman" w:eastAsia="宋体" w:cs="Times New Roman"/>
              <w:color w:val="auto"/>
              <w:highlight w:val="none"/>
            </w:rPr>
            <w:t>费用</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_Toc23262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59B443DC">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_Toc25411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二、</w:t>
          </w:r>
          <w:r>
            <w:rPr>
              <w:rFonts w:hint="eastAsia" w:ascii="Times New Roman" w:hAnsi="Times New Roman" w:eastAsia="宋体" w:cs="Times New Roman"/>
              <w:color w:val="auto"/>
              <w:highlight w:val="none"/>
              <w:lang w:eastAsia="zh-CN"/>
            </w:rPr>
            <w:t>竞争性磋商</w:t>
          </w:r>
          <w:r>
            <w:rPr>
              <w:rFonts w:hint="eastAsia" w:ascii="Times New Roman" w:hAnsi="Times New Roman" w:eastAsia="宋体" w:cs="Times New Roman"/>
              <w:color w:val="auto"/>
              <w:highlight w:val="none"/>
            </w:rPr>
            <w:t>文件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_Toc25411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343EAA6F">
          <w:pPr>
            <w:pStyle w:val="46"/>
            <w:tabs>
              <w:tab w:val="right" w:leader="dot" w:pos="9412"/>
            </w:tabs>
            <w:ind w:firstLine="560" w:firstLineChars="200"/>
            <w:rPr>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_Toc1050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三、</w:t>
          </w:r>
          <w:r>
            <w:rPr>
              <w:rFonts w:hint="eastAsia" w:ascii="Times New Roman" w:hAnsi="Times New Roman" w:eastAsia="宋体" w:cs="Times New Roman"/>
              <w:color w:val="auto"/>
              <w:highlight w:val="none"/>
              <w:lang w:eastAsia="zh-CN"/>
            </w:rPr>
            <w:t>磋商</w:t>
          </w:r>
          <w:r>
            <w:rPr>
              <w:rFonts w:hint="eastAsia" w:ascii="Times New Roman" w:hAnsi="Times New Roman" w:eastAsia="宋体" w:cs="Times New Roman"/>
              <w:color w:val="auto"/>
              <w:highlight w:val="none"/>
            </w:rPr>
            <w:t>要求</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_Toc1050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16</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1EDB8B42">
          <w:pPr>
            <w:pStyle w:val="46"/>
            <w:tabs>
              <w:tab w:val="right" w:leader="dot" w:pos="9412"/>
            </w:tabs>
            <w:ind w:firstLine="560" w:firstLineChars="200"/>
            <w:rPr>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_Toc22310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四、成交供应商的确认和变更</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_Toc22310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17</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0F25C8E">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_Toc26405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五、成交通知</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_Toc26405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18</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3E9FF9D8">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_Toc26847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六、关于质疑</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_Toc26847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18</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0A2B4824">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_Toc23989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七、签订合同</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_Toc23989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19</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19BA7416">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_Toc728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八、项目验收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_Toc728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19</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59C7D9E7">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_Toc8719 </w:instrText>
          </w:r>
          <w:r>
            <w:rPr>
              <w:rFonts w:hint="eastAsia"/>
              <w:color w:val="auto"/>
              <w:highlight w:val="none"/>
            </w:rPr>
            <w:fldChar w:fldCharType="separate"/>
          </w:r>
          <w:r>
            <w:rPr>
              <w:rFonts w:hint="eastAsia" w:ascii="宋体" w:hAnsi="宋体" w:eastAsia="宋体" w:cs="宋体"/>
              <w:color w:val="auto"/>
              <w:highlight w:val="none"/>
            </w:rPr>
            <w:t>第六篇  合同草案条款</w:t>
          </w:r>
          <w:r>
            <w:rPr>
              <w:color w:val="auto"/>
              <w:highlight w:val="none"/>
            </w:rPr>
            <w:tab/>
          </w:r>
          <w:r>
            <w:rPr>
              <w:color w:val="auto"/>
              <w:highlight w:val="none"/>
            </w:rPr>
            <w:fldChar w:fldCharType="begin"/>
          </w:r>
          <w:r>
            <w:rPr>
              <w:color w:val="auto"/>
              <w:highlight w:val="none"/>
            </w:rPr>
            <w:instrText xml:space="preserve"> PAGEREF _Toc8719 \h </w:instrText>
          </w:r>
          <w:r>
            <w:rPr>
              <w:color w:val="auto"/>
              <w:highlight w:val="none"/>
            </w:rPr>
            <w:fldChar w:fldCharType="separate"/>
          </w:r>
          <w:r>
            <w:rPr>
              <w:color w:val="auto"/>
              <w:highlight w:val="none"/>
            </w:rPr>
            <w:t>20</w:t>
          </w:r>
          <w:r>
            <w:rPr>
              <w:color w:val="auto"/>
              <w:highlight w:val="none"/>
            </w:rPr>
            <w:fldChar w:fldCharType="end"/>
          </w:r>
          <w:r>
            <w:rPr>
              <w:rFonts w:hint="eastAsia"/>
              <w:color w:val="auto"/>
              <w:highlight w:val="none"/>
            </w:rPr>
            <w:fldChar w:fldCharType="end"/>
          </w:r>
        </w:p>
        <w:p w14:paraId="02AED6A6">
          <w:pPr>
            <w:pStyle w:val="37"/>
            <w:tabs>
              <w:tab w:val="right" w:leader="dot" w:pos="9412"/>
            </w:tabs>
            <w:ind w:firstLine="60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_Toc3235 </w:instrText>
          </w:r>
          <w:r>
            <w:rPr>
              <w:rFonts w:hint="eastAsia"/>
              <w:color w:val="auto"/>
              <w:highlight w:val="none"/>
            </w:rPr>
            <w:fldChar w:fldCharType="separate"/>
          </w:r>
          <w:r>
            <w:rPr>
              <w:rFonts w:hint="eastAsia" w:ascii="宋体" w:hAnsi="宋体" w:eastAsia="宋体" w:cs="宋体"/>
              <w:bCs/>
              <w:color w:val="auto"/>
              <w:highlight w:val="none"/>
            </w:rPr>
            <w:t>第七篇  响应文件格式要求</w:t>
          </w:r>
          <w:r>
            <w:rPr>
              <w:color w:val="auto"/>
              <w:highlight w:val="none"/>
            </w:rPr>
            <w:tab/>
          </w:r>
          <w:r>
            <w:rPr>
              <w:color w:val="auto"/>
              <w:highlight w:val="none"/>
            </w:rPr>
            <w:fldChar w:fldCharType="begin"/>
          </w:r>
          <w:r>
            <w:rPr>
              <w:color w:val="auto"/>
              <w:highlight w:val="none"/>
            </w:rPr>
            <w:instrText xml:space="preserve"> PAGEREF _Toc3235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rPr>
            <w:fldChar w:fldCharType="end"/>
          </w:r>
        </w:p>
        <w:p w14:paraId="2BE6B455">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_Toc26934 </w:instrText>
          </w:r>
          <w:r>
            <w:rPr>
              <w:rFonts w:hint="eastAsia"/>
              <w:color w:val="auto"/>
              <w:highlight w:val="none"/>
            </w:rPr>
            <w:fldChar w:fldCharType="separate"/>
          </w:r>
          <w:r>
            <w:rPr>
              <w:rFonts w:hint="eastAsia" w:ascii="宋体" w:hAnsi="宋体" w:eastAsia="宋体" w:cs="宋体"/>
              <w:color w:val="auto"/>
              <w:szCs w:val="24"/>
              <w:highlight w:val="none"/>
            </w:rPr>
            <w:t>一、经济部分</w:t>
          </w:r>
          <w:r>
            <w:rPr>
              <w:color w:val="auto"/>
              <w:highlight w:val="none"/>
            </w:rPr>
            <w:tab/>
          </w:r>
          <w:r>
            <w:rPr>
              <w:color w:val="auto"/>
              <w:highlight w:val="none"/>
            </w:rPr>
            <w:fldChar w:fldCharType="begin"/>
          </w:r>
          <w:r>
            <w:rPr>
              <w:color w:val="auto"/>
              <w:highlight w:val="none"/>
            </w:rPr>
            <w:instrText xml:space="preserve"> PAGEREF _Toc26934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rPr>
            <w:fldChar w:fldCharType="end"/>
          </w:r>
        </w:p>
        <w:p w14:paraId="04527A22">
          <w:pPr>
            <w:pStyle w:val="46"/>
            <w:tabs>
              <w:tab w:val="right" w:leader="dot" w:pos="9412"/>
            </w:tabs>
            <w:ind w:firstLine="560" w:firstLineChars="200"/>
            <w:rPr>
              <w:color w:val="auto"/>
              <w:highlight w:val="none"/>
            </w:rPr>
          </w:pPr>
          <w:r>
            <w:rPr>
              <w:rFonts w:hint="eastAsia"/>
              <w:color w:val="auto"/>
              <w:highlight w:val="none"/>
            </w:rPr>
            <w:fldChar w:fldCharType="begin"/>
          </w:r>
          <w:r>
            <w:rPr>
              <w:rFonts w:hint="eastAsia"/>
              <w:color w:val="auto"/>
              <w:highlight w:val="none"/>
            </w:rPr>
            <w:instrText xml:space="preserve"> HYPERLINK \l _Toc6706 </w:instrText>
          </w:r>
          <w:r>
            <w:rPr>
              <w:rFonts w:hint="eastAsia"/>
              <w:color w:val="auto"/>
              <w:highlight w:val="none"/>
            </w:rPr>
            <w:fldChar w:fldCharType="separate"/>
          </w:r>
          <w:r>
            <w:rPr>
              <w:rFonts w:hint="eastAsia" w:ascii="宋体" w:hAnsi="宋体" w:eastAsia="宋体" w:cs="宋体"/>
              <w:color w:val="auto"/>
              <w:szCs w:val="24"/>
              <w:highlight w:val="none"/>
            </w:rPr>
            <w:t>二、</w:t>
          </w:r>
          <w:r>
            <w:rPr>
              <w:rFonts w:hint="eastAsia" w:ascii="宋体" w:hAnsi="宋体" w:eastAsia="宋体" w:cs="宋体"/>
              <w:color w:val="auto"/>
              <w:szCs w:val="24"/>
              <w:highlight w:val="none"/>
              <w:lang w:val="en-US" w:eastAsia="zh-CN"/>
            </w:rPr>
            <w:t>服务</w:t>
          </w:r>
          <w:r>
            <w:rPr>
              <w:rFonts w:hint="eastAsia" w:ascii="宋体" w:hAnsi="宋体" w:eastAsia="宋体" w:cs="宋体"/>
              <w:color w:val="auto"/>
              <w:szCs w:val="24"/>
              <w:highlight w:val="none"/>
            </w:rPr>
            <w:t>部分</w:t>
          </w:r>
          <w:r>
            <w:rPr>
              <w:color w:val="auto"/>
              <w:highlight w:val="none"/>
            </w:rPr>
            <w:tab/>
          </w:r>
          <w:r>
            <w:rPr>
              <w:color w:val="auto"/>
              <w:highlight w:val="none"/>
            </w:rPr>
            <w:fldChar w:fldCharType="begin"/>
          </w:r>
          <w:r>
            <w:rPr>
              <w:color w:val="auto"/>
              <w:highlight w:val="none"/>
            </w:rPr>
            <w:instrText xml:space="preserve"> PAGEREF _Toc6706 \h </w:instrText>
          </w:r>
          <w:r>
            <w:rPr>
              <w:color w:val="auto"/>
              <w:highlight w:val="none"/>
            </w:rPr>
            <w:fldChar w:fldCharType="separate"/>
          </w:r>
          <w:r>
            <w:rPr>
              <w:color w:val="auto"/>
              <w:highlight w:val="none"/>
            </w:rPr>
            <w:t>31</w:t>
          </w:r>
          <w:r>
            <w:rPr>
              <w:color w:val="auto"/>
              <w:highlight w:val="none"/>
            </w:rPr>
            <w:fldChar w:fldCharType="end"/>
          </w:r>
          <w:r>
            <w:rPr>
              <w:rFonts w:hint="eastAsia"/>
              <w:color w:val="auto"/>
              <w:highlight w:val="none"/>
            </w:rPr>
            <w:fldChar w:fldCharType="end"/>
          </w:r>
        </w:p>
        <w:p w14:paraId="16A8F663">
          <w:pPr>
            <w:pStyle w:val="46"/>
            <w:tabs>
              <w:tab w:val="right" w:leader="dot" w:pos="9412"/>
            </w:tabs>
            <w:ind w:firstLine="56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_Toc1848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三、</w:t>
          </w:r>
          <w:r>
            <w:rPr>
              <w:rFonts w:hint="eastAsia" w:ascii="Times New Roman" w:hAnsi="Times New Roman" w:eastAsia="宋体" w:cs="Times New Roman"/>
              <w:color w:val="auto"/>
              <w:highlight w:val="none"/>
              <w:lang w:val="en-US" w:eastAsia="zh-CN"/>
            </w:rPr>
            <w:t>商务</w:t>
          </w:r>
          <w:r>
            <w:rPr>
              <w:rFonts w:hint="eastAsia" w:ascii="Times New Roman" w:hAnsi="Times New Roman" w:eastAsia="宋体" w:cs="Times New Roman"/>
              <w:color w:val="auto"/>
              <w:highlight w:val="none"/>
            </w:rPr>
            <w:t>部分</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_Toc1848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p>
        <w:p w14:paraId="6DCEE5AF">
          <w:pPr>
            <w:pStyle w:val="46"/>
            <w:tabs>
              <w:tab w:val="right" w:leader="dot" w:pos="9412"/>
            </w:tabs>
            <w:ind w:firstLine="560" w:firstLineChars="200"/>
            <w:rPr>
              <w:rFonts w:hint="eastAsia" w:ascii="Times New Roman" w:hAnsi="Times New Roman" w:eastAsia="宋体" w:cs="Times New Roman"/>
              <w:color w:val="auto"/>
              <w:kern w:val="2"/>
              <w:sz w:val="44"/>
              <w:highlight w:val="none"/>
              <w:lang w:val="en-US" w:eastAsia="zh-CN" w:bidi="ar-SA"/>
            </w:rPr>
            <w:sectPr>
              <w:pgSz w:w="11907" w:h="16840"/>
              <w:pgMar w:top="1134" w:right="1191" w:bottom="1134" w:left="1304" w:header="851" w:footer="992" w:gutter="0"/>
              <w:pgNumType w:fmt="numberInDash" w:start="1"/>
              <w:cols w:space="720" w:num="1"/>
              <w:titlePg/>
              <w:docGrid w:linePitch="381" w:charSpace="-5735"/>
            </w:sect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_Toc18291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四、资格条件</w:t>
          </w:r>
          <w:r>
            <w:rPr>
              <w:rFonts w:hint="eastAsia" w:ascii="Times New Roman" w:hAnsi="Times New Roman" w:eastAsia="宋体" w:cs="Times New Roman"/>
              <w:color w:val="auto"/>
              <w:highlight w:val="none"/>
            </w:rPr>
            <w:tab/>
          </w: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PAGEREF _Toc18291 \h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31</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highlight w:val="none"/>
            </w:rPr>
            <w:fldChar w:fldCharType="end"/>
          </w:r>
          <w:r>
            <w:rPr>
              <w:rFonts w:hint="eastAsia"/>
              <w:color w:val="auto"/>
              <w:highlight w:val="none"/>
            </w:rPr>
            <w:fldChar w:fldCharType="end"/>
          </w:r>
        </w:p>
      </w:sdtContent>
    </w:sdt>
    <w:p w14:paraId="062A06FD">
      <w:pPr>
        <w:pStyle w:val="2"/>
        <w:keepNext/>
        <w:keepLines w:val="0"/>
        <w:pageBreakBefore w:val="0"/>
        <w:widowControl w:val="0"/>
        <w:kinsoku/>
        <w:wordWrap/>
        <w:overflowPunct/>
        <w:topLinePunct w:val="0"/>
        <w:autoSpaceDE/>
        <w:autoSpaceDN/>
        <w:bidi w:val="0"/>
        <w:adjustRightInd/>
        <w:snapToGrid w:val="0"/>
        <w:ind w:firstLine="643" w:firstLineChars="200"/>
        <w:jc w:val="center"/>
        <w:textAlignment w:val="auto"/>
        <w:rPr>
          <w:rFonts w:hint="eastAsia" w:ascii="宋体" w:hAnsi="宋体" w:eastAsia="宋体" w:cs="宋体"/>
          <w:b/>
          <w:bCs/>
          <w:color w:val="auto"/>
          <w:highlight w:val="none"/>
        </w:rPr>
      </w:pPr>
      <w:bookmarkStart w:id="0" w:name="_Toc24173"/>
      <w:bookmarkStart w:id="1" w:name="_Toc12789052"/>
      <w:bookmarkStart w:id="2" w:name="_Toc65660329"/>
      <w:bookmarkStart w:id="3" w:name="_Toc15726"/>
      <w:bookmarkStart w:id="4" w:name="_Toc11641050"/>
      <w:bookmarkStart w:id="5" w:name="_Toc2774"/>
      <w:bookmarkStart w:id="6" w:name="_Toc21736"/>
      <w:bookmarkStart w:id="7" w:name="_Toc11009"/>
      <w:r>
        <w:rPr>
          <w:rFonts w:hint="eastAsia" w:ascii="宋体" w:hAnsi="宋体" w:eastAsia="宋体" w:cs="宋体"/>
          <w:b/>
          <w:bCs/>
          <w:color w:val="auto"/>
          <w:highlight w:val="none"/>
        </w:rPr>
        <w:t xml:space="preserve">第一篇  </w:t>
      </w:r>
      <w:bookmarkEnd w:id="0"/>
      <w:bookmarkEnd w:id="1"/>
      <w:bookmarkEnd w:id="2"/>
      <w:bookmarkEnd w:id="3"/>
      <w:bookmarkEnd w:id="4"/>
      <w:r>
        <w:rPr>
          <w:rFonts w:hint="eastAsia" w:ascii="宋体" w:hAnsi="宋体" w:eastAsia="宋体" w:cs="宋体"/>
          <w:b/>
          <w:bCs/>
          <w:color w:val="auto"/>
          <w:highlight w:val="none"/>
        </w:rPr>
        <w:t>采购邀请书</w:t>
      </w:r>
      <w:bookmarkEnd w:id="5"/>
      <w:bookmarkEnd w:id="6"/>
      <w:bookmarkEnd w:id="7"/>
    </w:p>
    <w:p w14:paraId="488E0F8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我院</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u w:val="single"/>
          <w:lang w:val="en-US" w:eastAsia="zh-CN"/>
        </w:rPr>
        <w:t>巫山县中医院陪</w:t>
      </w:r>
      <w:r>
        <w:rPr>
          <w:rFonts w:hint="eastAsia" w:ascii="宋体" w:hAnsi="宋体" w:eastAsia="宋体" w:cs="宋体"/>
          <w:color w:val="auto"/>
          <w:sz w:val="24"/>
          <w:szCs w:val="24"/>
          <w:highlight w:val="none"/>
          <w:u w:val="single"/>
        </w:rPr>
        <w:t>护支持中心</w:t>
      </w:r>
      <w:r>
        <w:rPr>
          <w:rFonts w:hint="eastAsia" w:ascii="宋体" w:hAnsi="宋体" w:eastAsia="宋体" w:cs="宋体"/>
          <w:color w:val="auto"/>
          <w:sz w:val="24"/>
          <w:szCs w:val="24"/>
          <w:highlight w:val="none"/>
          <w:u w:val="single"/>
          <w:lang w:val="en-US" w:eastAsia="zh-CN"/>
        </w:rPr>
        <w:t>服务项目</w:t>
      </w:r>
      <w:r>
        <w:rPr>
          <w:rFonts w:hint="eastAsia" w:ascii="宋体" w:hAnsi="宋体" w:eastAsia="宋体" w:cs="宋体"/>
          <w:color w:val="auto"/>
          <w:sz w:val="24"/>
          <w:szCs w:val="24"/>
          <w:highlight w:val="none"/>
        </w:rPr>
        <w:t>进行</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采购</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欢迎</w:t>
      </w:r>
      <w:r>
        <w:rPr>
          <w:rFonts w:hint="eastAsia" w:ascii="宋体" w:hAnsi="宋体" w:cs="宋体"/>
          <w:color w:val="auto"/>
          <w:sz w:val="24"/>
          <w:szCs w:val="24"/>
          <w:highlight w:val="none"/>
          <w:lang w:val="en-US" w:eastAsia="zh-CN"/>
        </w:rPr>
        <w:t>符合</w:t>
      </w:r>
      <w:r>
        <w:rPr>
          <w:rFonts w:hint="eastAsia" w:ascii="宋体" w:hAnsi="宋体" w:eastAsia="宋体" w:cs="宋体"/>
          <w:color w:val="auto"/>
          <w:sz w:val="24"/>
          <w:szCs w:val="24"/>
          <w:highlight w:val="none"/>
        </w:rPr>
        <w:t>资格的供应商前来参与。</w:t>
      </w:r>
    </w:p>
    <w:p w14:paraId="063A6406">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8" w:name="_Toc14272"/>
      <w:bookmarkStart w:id="9" w:name="_Toc7758"/>
      <w:bookmarkStart w:id="10" w:name="_Toc8293"/>
      <w:bookmarkStart w:id="11" w:name="_Toc18246"/>
      <w:bookmarkStart w:id="12" w:name="_Toc11830"/>
      <w:bookmarkStart w:id="13" w:name="_Toc317775175"/>
      <w:bookmarkStart w:id="14" w:name="_Toc313893526"/>
      <w:bookmarkStart w:id="15" w:name="_Toc65660330"/>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lang w:val="en-US" w:eastAsia="zh-CN"/>
        </w:rPr>
        <w:t>采购</w:t>
      </w:r>
      <w:r>
        <w:rPr>
          <w:rFonts w:hint="eastAsia" w:ascii="宋体" w:hAnsi="宋体" w:eastAsia="宋体" w:cs="宋体"/>
          <w:b/>
          <w:color w:val="auto"/>
          <w:sz w:val="24"/>
          <w:szCs w:val="24"/>
          <w:highlight w:val="none"/>
        </w:rPr>
        <w:t>内容</w:t>
      </w:r>
      <w:bookmarkEnd w:id="8"/>
      <w:bookmarkEnd w:id="9"/>
      <w:bookmarkEnd w:id="10"/>
      <w:bookmarkEnd w:id="11"/>
      <w:bookmarkEnd w:id="12"/>
      <w:bookmarkEnd w:id="13"/>
      <w:bookmarkEnd w:id="14"/>
      <w:bookmarkEnd w:id="15"/>
      <w:bookmarkStart w:id="16" w:name="_Toc3256"/>
      <w:bookmarkStart w:id="17" w:name="_Toc65660331"/>
      <w:bookmarkStart w:id="18" w:name="_Toc27028"/>
      <w:bookmarkStart w:id="19" w:name="_Toc373860293"/>
      <w:bookmarkStart w:id="20" w:name="_Toc317775178"/>
    </w:p>
    <w:p w14:paraId="420BBB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21" w:name="_Toc20396"/>
      <w:bookmarkStart w:id="22" w:name="_Toc11118"/>
      <w:bookmarkStart w:id="23" w:name="_Toc31314"/>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陪护服务</w:t>
      </w:r>
      <w:bookmarkEnd w:id="21"/>
      <w:bookmarkEnd w:id="22"/>
      <w:bookmarkEnd w:id="23"/>
    </w:p>
    <w:p w14:paraId="7D7874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医院提供平台，护工公司与患者或家属自愿达成协议并签订同意书后，为患者提供护工陪护服务，收取服务费（具体收费标准由中标人报采购人备案，须参考市场行情明码标价），并开具收款凭证。</w:t>
      </w:r>
    </w:p>
    <w:p w14:paraId="3AFB08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bookmarkStart w:id="24" w:name="_Toc13588"/>
      <w:bookmarkStart w:id="25" w:name="_Toc1307"/>
      <w:bookmarkStart w:id="26" w:name="_Toc21796"/>
      <w:r>
        <w:rPr>
          <w:rFonts w:hint="eastAsia" w:asciiTheme="minorEastAsia" w:hAnsiTheme="minorEastAsia" w:eastAsiaTheme="minorEastAsia" w:cstheme="minorEastAsia"/>
          <w:color w:val="auto"/>
          <w:sz w:val="24"/>
          <w:szCs w:val="24"/>
          <w:highlight w:val="none"/>
          <w:lang w:val="en-US" w:eastAsia="zh-CN"/>
        </w:rPr>
        <w:t>2.公益服务岗位</w:t>
      </w:r>
      <w:bookmarkEnd w:id="24"/>
      <w:bookmarkEnd w:id="25"/>
      <w:bookmarkEnd w:id="26"/>
    </w:p>
    <w:p w14:paraId="253CC0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中标人须根据我院护理服务实际需求设立公益服务岗位（岗位范围包括但不限于院前及院内担架转运、医疗配件配送、全院标本运送、中西药房取药服务等），由护工公司全额承担公益服务岗位人员的工资、福利、社保等所有用工费用，并对公益服务岗位人员因工作差错、失误等引发的所有纠纷、赔偿责任及法律责任全权负责。</w:t>
      </w:r>
    </w:p>
    <w:p w14:paraId="179496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bookmarkStart w:id="27" w:name="_Toc29066"/>
      <w:bookmarkStart w:id="28" w:name="_Toc31831"/>
      <w:bookmarkStart w:id="29" w:name="_Toc4795"/>
      <w:r>
        <w:rPr>
          <w:rFonts w:hint="eastAsia" w:asciiTheme="minorEastAsia" w:hAnsiTheme="minorEastAsia" w:eastAsiaTheme="minorEastAsia" w:cstheme="minorEastAsia"/>
          <w:color w:val="auto"/>
          <w:sz w:val="24"/>
          <w:szCs w:val="24"/>
          <w:highlight w:val="none"/>
          <w:lang w:val="en-US" w:eastAsia="zh-CN"/>
        </w:rPr>
        <w:t>3.项目采购期限总计3年，合同实行一年一签制，每年经采购人考核合格后方可续签后续合同。</w:t>
      </w:r>
      <w:bookmarkEnd w:id="27"/>
      <w:bookmarkEnd w:id="28"/>
      <w:bookmarkEnd w:id="29"/>
    </w:p>
    <w:p w14:paraId="251FE1F3">
      <w:pPr>
        <w:pStyle w:val="3"/>
        <w:adjustRightInd w:val="0"/>
        <w:snapToGrid w:val="0"/>
        <w:spacing w:before="0" w:after="0" w:line="400" w:lineRule="exact"/>
        <w:ind w:firstLine="482" w:firstLineChars="200"/>
        <w:jc w:val="left"/>
        <w:outlineLvl w:val="0"/>
        <w:rPr>
          <w:rFonts w:hint="eastAsia" w:asciiTheme="minorEastAsia" w:hAnsiTheme="minorEastAsia" w:eastAsiaTheme="minorEastAsia" w:cstheme="minorEastAsia"/>
          <w:b/>
          <w:bCs/>
          <w:color w:val="auto"/>
          <w:sz w:val="24"/>
          <w:szCs w:val="24"/>
          <w:highlight w:val="none"/>
          <w:lang w:val="en-US" w:eastAsia="zh-CN"/>
        </w:rPr>
      </w:pPr>
      <w:bookmarkStart w:id="30" w:name="_Toc17510"/>
      <w:bookmarkStart w:id="31" w:name="_Toc14196"/>
      <w:bookmarkStart w:id="32" w:name="_Toc20460"/>
      <w:r>
        <w:rPr>
          <w:rFonts w:hint="eastAsia" w:ascii="宋体" w:hAnsi="宋体" w:eastAsia="宋体" w:cs="宋体"/>
          <w:b/>
          <w:color w:val="auto"/>
          <w:sz w:val="24"/>
          <w:szCs w:val="24"/>
          <w:highlight w:val="none"/>
          <w:lang w:val="en-US" w:eastAsia="zh-CN"/>
        </w:rPr>
        <w:t>二、资金来源</w:t>
      </w:r>
      <w:bookmarkEnd w:id="16"/>
      <w:bookmarkEnd w:id="17"/>
      <w:bookmarkEnd w:id="18"/>
      <w:bookmarkEnd w:id="30"/>
      <w:bookmarkEnd w:id="31"/>
      <w:bookmarkEnd w:id="32"/>
    </w:p>
    <w:p w14:paraId="5623E14A">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本项目陪护服务费用由服务使用者自行承担，医院提供服务平台，护工公司与患者或家属自愿协商达成协议并签订服务同意书后，为患者提供护工陪护服务并依规收取服务费。</w:t>
      </w:r>
    </w:p>
    <w:p w14:paraId="0379BAAB">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33" w:name="_Toc28548"/>
      <w:bookmarkStart w:id="34" w:name="_Toc65660332"/>
      <w:bookmarkStart w:id="35" w:name="_Toc18548"/>
      <w:bookmarkStart w:id="36" w:name="_Toc64731996"/>
      <w:bookmarkStart w:id="37" w:name="_Toc28610"/>
      <w:bookmarkStart w:id="38" w:name="_Toc13541"/>
      <w:bookmarkStart w:id="39" w:name="_Toc1047"/>
      <w:r>
        <w:rPr>
          <w:rFonts w:hint="eastAsia" w:ascii="宋体" w:hAnsi="宋体" w:eastAsia="宋体" w:cs="宋体"/>
          <w:b/>
          <w:color w:val="auto"/>
          <w:sz w:val="24"/>
          <w:szCs w:val="24"/>
          <w:highlight w:val="none"/>
          <w:lang w:val="en-US" w:eastAsia="zh-CN"/>
        </w:rPr>
        <w:t>三、供应商资格条件</w:t>
      </w:r>
      <w:bookmarkEnd w:id="33"/>
      <w:bookmarkEnd w:id="34"/>
      <w:bookmarkEnd w:id="35"/>
      <w:bookmarkEnd w:id="36"/>
      <w:bookmarkEnd w:id="37"/>
      <w:bookmarkEnd w:id="38"/>
      <w:bookmarkEnd w:id="39"/>
    </w:p>
    <w:p w14:paraId="183C7E7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（一）满足《中华人民共和国政府采购法》第二十二条规定；</w:t>
      </w:r>
    </w:p>
    <w:p w14:paraId="25920AE0">
      <w:pPr>
        <w:spacing w:line="400" w:lineRule="exact"/>
        <w:ind w:firstLine="480" w:firstLineChars="200"/>
        <w:rPr>
          <w:rFonts w:hint="eastAsia" w:asciiTheme="minorEastAsia" w:hAnsiTheme="minorEastAsia" w:eastAsiaTheme="minorEastAsia" w:cstheme="minorEastAsia"/>
          <w:i w:val="0"/>
          <w:i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（二）落实政府采购政策需满足的资格要求：</w:t>
      </w:r>
      <w:r>
        <w:rPr>
          <w:rFonts w:hint="eastAsia" w:asciiTheme="minorEastAsia" w:hAnsiTheme="minorEastAsia" w:eastAsiaTheme="minorEastAsia" w:cstheme="minorEastAsia"/>
          <w:i w:val="0"/>
          <w:iCs/>
          <w:color w:val="auto"/>
          <w:sz w:val="24"/>
          <w:szCs w:val="24"/>
          <w:highlight w:val="none"/>
          <w:u w:val="single"/>
          <w:lang w:val="en-US" w:eastAsia="zh-CN"/>
        </w:rPr>
        <w:t>无</w:t>
      </w:r>
    </w:p>
    <w:p w14:paraId="45CBD7A5">
      <w:pPr>
        <w:spacing w:line="400" w:lineRule="exact"/>
        <w:ind w:firstLine="480" w:firstLineChars="200"/>
        <w:rPr>
          <w:rFonts w:hint="eastAsia" w:asciiTheme="minorEastAsia" w:hAnsiTheme="minorEastAsia" w:eastAsiaTheme="minorEastAsia" w:cstheme="minorEastAsia"/>
          <w:i w:val="0"/>
          <w:i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（三）本项目的特定资格要求：</w:t>
      </w:r>
      <w:r>
        <w:rPr>
          <w:rFonts w:hint="eastAsia" w:asciiTheme="minorEastAsia" w:hAnsiTheme="minorEastAsia" w:eastAsiaTheme="minorEastAsia" w:cstheme="minorEastAsia"/>
          <w:color w:val="auto"/>
          <w:sz w:val="24"/>
          <w:szCs w:val="24"/>
          <w:highlight w:val="none"/>
          <w:u w:val="single"/>
          <w:lang w:val="en-US" w:eastAsia="zh-CN"/>
        </w:rPr>
        <w:t>无</w:t>
      </w:r>
    </w:p>
    <w:p w14:paraId="280697AB">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40" w:name="_Toc6603"/>
      <w:bookmarkStart w:id="41" w:name="_Toc6455"/>
      <w:bookmarkStart w:id="42" w:name="_Toc11908"/>
      <w:bookmarkStart w:id="43" w:name="_Toc26026"/>
      <w:bookmarkStart w:id="44" w:name="_Toc1386"/>
      <w:bookmarkStart w:id="45" w:name="_Toc65660333"/>
      <w:r>
        <w:rPr>
          <w:rFonts w:hint="eastAsia" w:ascii="宋体" w:hAnsi="宋体" w:eastAsia="宋体" w:cs="宋体"/>
          <w:b/>
          <w:color w:val="auto"/>
          <w:sz w:val="24"/>
          <w:szCs w:val="24"/>
          <w:highlight w:val="none"/>
          <w:lang w:val="en-US" w:eastAsia="zh-CN"/>
        </w:rPr>
        <w:t>四、磋商有关说明</w:t>
      </w:r>
      <w:bookmarkEnd w:id="19"/>
      <w:bookmarkEnd w:id="40"/>
      <w:bookmarkEnd w:id="41"/>
      <w:bookmarkEnd w:id="42"/>
      <w:bookmarkEnd w:id="43"/>
      <w:bookmarkEnd w:id="44"/>
      <w:bookmarkEnd w:id="45"/>
    </w:p>
    <w:p w14:paraId="4CD7AF5D">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）凡有意参加</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的供应商，请在</w:t>
      </w:r>
      <w:r>
        <w:rPr>
          <w:rFonts w:hint="eastAsia" w:asciiTheme="minorEastAsia" w:hAnsiTheme="minorEastAsia" w:eastAsiaTheme="minorEastAsia" w:cstheme="minorEastAsia"/>
          <w:color w:val="auto"/>
          <w:sz w:val="24"/>
          <w:szCs w:val="24"/>
          <w:highlight w:val="none"/>
          <w:lang w:eastAsia="zh-CN"/>
        </w:rPr>
        <w:t>巫山县中医院</w:t>
      </w:r>
      <w:r>
        <w:rPr>
          <w:rFonts w:hint="eastAsia" w:asciiTheme="minorEastAsia" w:hAnsiTheme="minorEastAsia" w:eastAsiaTheme="minorEastAsia" w:cstheme="minorEastAsia"/>
          <w:color w:val="auto"/>
          <w:sz w:val="24"/>
          <w:szCs w:val="24"/>
          <w:highlight w:val="none"/>
        </w:rPr>
        <w:t>官网（http://gw.cqwsxzyy.cn</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上下载</w:t>
      </w:r>
      <w:r>
        <w:rPr>
          <w:rFonts w:hint="eastAsia" w:asciiTheme="minorEastAsia" w:hAnsiTheme="minorEastAsia" w:eastAsiaTheme="minorEastAsia" w:cstheme="minorEastAsia"/>
          <w:color w:val="auto"/>
          <w:sz w:val="24"/>
          <w:szCs w:val="24"/>
          <w:highlight w:val="none"/>
        </w:rPr>
        <w:t>本项目</w:t>
      </w:r>
      <w:r>
        <w:rPr>
          <w:rFonts w:hint="eastAsia" w:asciiTheme="minorEastAsia" w:hAnsiTheme="minorEastAsia" w:eastAsiaTheme="minorEastAsia" w:cstheme="minorEastAsia"/>
          <w:color w:val="auto"/>
          <w:sz w:val="24"/>
          <w:szCs w:val="24"/>
          <w:highlight w:val="none"/>
          <w:lang w:eastAsia="zh-CN"/>
        </w:rPr>
        <w:t>竞争性磋商</w:t>
      </w:r>
      <w:r>
        <w:rPr>
          <w:rFonts w:hint="eastAsia" w:asciiTheme="minorEastAsia" w:hAnsiTheme="minorEastAsia" w:eastAsiaTheme="minorEastAsia" w:cstheme="minorEastAsia"/>
          <w:color w:val="auto"/>
          <w:sz w:val="24"/>
          <w:szCs w:val="24"/>
          <w:highlight w:val="none"/>
        </w:rPr>
        <w:t>文件以及澄清等</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前公布的所有项目资料，无论供应商下载与否，均视为已知晓所有</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实质性要求内容。</w:t>
      </w:r>
    </w:p>
    <w:p w14:paraId="79ECBA9C">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竞争性磋商</w:t>
      </w:r>
      <w:r>
        <w:rPr>
          <w:rFonts w:hint="eastAsia" w:asciiTheme="minorEastAsia" w:hAnsiTheme="minorEastAsia" w:eastAsiaTheme="minorEastAsia" w:cstheme="minorEastAsia"/>
          <w:color w:val="auto"/>
          <w:sz w:val="24"/>
          <w:szCs w:val="24"/>
          <w:highlight w:val="none"/>
        </w:rPr>
        <w:t>公告期限：自采购公告发布之日起</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个工作日。</w:t>
      </w:r>
    </w:p>
    <w:p w14:paraId="28FA839C">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三</w:t>
      </w:r>
      <w:r>
        <w:rPr>
          <w:rFonts w:hint="eastAsia" w:asciiTheme="minorEastAsia" w:hAnsiTheme="minorEastAsia" w:eastAsiaTheme="minorEastAsia" w:cstheme="minorEastAsia"/>
          <w:color w:val="auto"/>
          <w:sz w:val="24"/>
          <w:szCs w:val="24"/>
          <w:highlight w:val="none"/>
        </w:rPr>
        <w:t>）获取</w:t>
      </w:r>
      <w:r>
        <w:rPr>
          <w:rFonts w:hint="eastAsia" w:asciiTheme="minorEastAsia" w:hAnsiTheme="minorEastAsia" w:eastAsiaTheme="minorEastAsia" w:cstheme="minorEastAsia"/>
          <w:color w:val="auto"/>
          <w:sz w:val="24"/>
          <w:szCs w:val="24"/>
          <w:highlight w:val="none"/>
          <w:lang w:eastAsia="zh-CN"/>
        </w:rPr>
        <w:t>竞争性磋商</w:t>
      </w:r>
      <w:r>
        <w:rPr>
          <w:rFonts w:hint="eastAsia" w:asciiTheme="minorEastAsia" w:hAnsiTheme="minorEastAsia" w:eastAsiaTheme="minorEastAsia" w:cstheme="minorEastAsia"/>
          <w:color w:val="auto"/>
          <w:sz w:val="24"/>
          <w:szCs w:val="24"/>
          <w:highlight w:val="none"/>
        </w:rPr>
        <w:t>文件期限：</w:t>
      </w:r>
    </w:p>
    <w:p w14:paraId="08A55144">
      <w:pPr>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46" w:name="_Toc12464"/>
      <w:bookmarkStart w:id="47" w:name="_Toc8643"/>
      <w:bookmarkStart w:id="48" w:name="_Toc21068"/>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竞争性磋商</w:t>
      </w:r>
      <w:r>
        <w:rPr>
          <w:rFonts w:hint="eastAsia" w:asciiTheme="minorEastAsia" w:hAnsiTheme="minorEastAsia" w:eastAsiaTheme="minorEastAsia" w:cstheme="minorEastAsia"/>
          <w:color w:val="auto"/>
          <w:sz w:val="24"/>
          <w:szCs w:val="24"/>
          <w:highlight w:val="none"/>
        </w:rPr>
        <w:t>文件提供期限：</w:t>
      </w:r>
      <w:bookmarkEnd w:id="46"/>
      <w:bookmarkEnd w:id="47"/>
      <w:bookmarkEnd w:id="48"/>
      <w:r>
        <w:rPr>
          <w:rFonts w:hint="eastAsia" w:ascii="宋体" w:hAnsi="宋体" w:eastAsia="宋体" w:cs="宋体"/>
          <w:color w:val="auto"/>
          <w:sz w:val="24"/>
          <w:szCs w:val="24"/>
          <w:highlight w:val="none"/>
          <w:lang w:val="en-US" w:eastAsia="zh-CN"/>
        </w:rPr>
        <w:t>自公告发布之日起</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lang w:val="en-US" w:eastAsia="zh-CN"/>
        </w:rPr>
        <w:t>响应文件递交截止时间止</w:t>
      </w:r>
      <w:r>
        <w:rPr>
          <w:rFonts w:hint="eastAsia" w:ascii="宋体" w:hAnsi="宋体" w:eastAsia="宋体" w:cs="宋体"/>
          <w:color w:val="auto"/>
          <w:sz w:val="24"/>
          <w:szCs w:val="24"/>
          <w:highlight w:val="none"/>
        </w:rPr>
        <w:t>。</w:t>
      </w:r>
    </w:p>
    <w:p w14:paraId="74A7CCBE">
      <w:pPr>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bookmarkStart w:id="49" w:name="_Toc28114"/>
      <w:bookmarkStart w:id="50" w:name="_Toc8529"/>
      <w:bookmarkStart w:id="51" w:name="_Toc20369"/>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竞争性磋商</w:t>
      </w:r>
      <w:r>
        <w:rPr>
          <w:rFonts w:hint="eastAsia" w:asciiTheme="minorEastAsia" w:hAnsiTheme="minorEastAsia" w:eastAsiaTheme="minorEastAsia" w:cstheme="minorEastAsia"/>
          <w:color w:val="auto"/>
          <w:sz w:val="24"/>
          <w:szCs w:val="24"/>
          <w:highlight w:val="none"/>
        </w:rPr>
        <w:t>文件售价：人民币</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元/包。</w:t>
      </w:r>
      <w:bookmarkEnd w:id="49"/>
      <w:bookmarkEnd w:id="50"/>
      <w:bookmarkEnd w:id="51"/>
    </w:p>
    <w:p w14:paraId="0249DE1E">
      <w:pPr>
        <w:spacing w:line="400" w:lineRule="exact"/>
        <w:ind w:firstLine="480" w:firstLineChars="200"/>
        <w:rPr>
          <w:rFonts w:hint="eastAsia" w:ascii="宋体" w:hAnsi="宋体" w:eastAsia="宋体" w:cs="宋体"/>
          <w:color w:val="auto"/>
          <w:sz w:val="24"/>
          <w:szCs w:val="24"/>
          <w:highlight w:val="none"/>
        </w:rPr>
      </w:pPr>
      <w:bookmarkStart w:id="52" w:name="_Toc21047"/>
      <w:bookmarkStart w:id="53" w:name="_Toc11901"/>
      <w:bookmarkStart w:id="54" w:name="_Toc8930"/>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color w:val="auto"/>
          <w:sz w:val="24"/>
          <w:szCs w:val="24"/>
          <w:highlight w:val="none"/>
        </w:rPr>
        <w:t>报名</w:t>
      </w:r>
      <w:r>
        <w:rPr>
          <w:rFonts w:hint="eastAsia" w:ascii="宋体" w:hAnsi="宋体" w:eastAsia="宋体" w:cs="宋体"/>
          <w:color w:val="auto"/>
          <w:sz w:val="24"/>
          <w:szCs w:val="24"/>
          <w:highlight w:val="none"/>
          <w:lang w:val="en-US" w:eastAsia="zh-CN"/>
        </w:rPr>
        <w:t>方式及期限</w:t>
      </w:r>
    </w:p>
    <w:p w14:paraId="287A8D8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报名期限：202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日09:00至202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日17:00。</w:t>
      </w:r>
    </w:p>
    <w:p w14:paraId="131AC618">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报名方式：在期限内，投标人将报名表扫描后发送至</w:t>
      </w:r>
      <w:r>
        <w:rPr>
          <w:rFonts w:hint="eastAsia" w:ascii="宋体" w:hAnsi="宋体" w:eastAsia="宋体" w:cs="宋体"/>
          <w:color w:val="auto"/>
          <w:sz w:val="24"/>
          <w:szCs w:val="24"/>
          <w:highlight w:val="none"/>
          <w:lang w:val="en-US" w:eastAsia="zh-CN"/>
        </w:rPr>
        <w:t>914387015</w:t>
      </w:r>
      <w:r>
        <w:rPr>
          <w:rFonts w:hint="eastAsia" w:ascii="宋体" w:hAnsi="宋体" w:eastAsia="宋体" w:cs="宋体"/>
          <w:color w:val="auto"/>
          <w:sz w:val="24"/>
          <w:szCs w:val="24"/>
          <w:highlight w:val="none"/>
        </w:rPr>
        <w:t>@qq.com（邮箱），只有在规定时间内将报名表发送至</w:t>
      </w:r>
      <w:r>
        <w:rPr>
          <w:rFonts w:hint="eastAsia" w:ascii="宋体" w:hAnsi="宋体" w:eastAsia="宋体" w:cs="宋体"/>
          <w:color w:val="auto"/>
          <w:sz w:val="24"/>
          <w:szCs w:val="24"/>
          <w:highlight w:val="none"/>
          <w:lang w:val="en-US" w:eastAsia="zh-CN"/>
        </w:rPr>
        <w:t>914387015</w:t>
      </w:r>
      <w:r>
        <w:rPr>
          <w:rFonts w:hint="eastAsia" w:ascii="宋体" w:hAnsi="宋体" w:eastAsia="宋体" w:cs="宋体"/>
          <w:color w:val="auto"/>
          <w:sz w:val="24"/>
          <w:szCs w:val="24"/>
          <w:highlight w:val="none"/>
        </w:rPr>
        <w:t>@qq.com邮箱的供应商投标文件才会被接收。</w:t>
      </w:r>
      <w:bookmarkEnd w:id="52"/>
      <w:bookmarkEnd w:id="53"/>
      <w:bookmarkEnd w:id="54"/>
    </w:p>
    <w:p w14:paraId="03044280">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磋商地点：巫山县中医院会议室</w:t>
      </w:r>
    </w:p>
    <w:p w14:paraId="66867C29">
      <w:pPr>
        <w:snapToGrid w:val="0"/>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五</w:t>
      </w:r>
      <w:r>
        <w:rPr>
          <w:rFonts w:hint="eastAsia" w:asciiTheme="minorEastAsia" w:hAnsiTheme="minorEastAsia" w:eastAsiaTheme="minorEastAsia" w:cstheme="minorEastAsia"/>
          <w:color w:val="auto"/>
          <w:sz w:val="24"/>
          <w:szCs w:val="24"/>
          <w:highlight w:val="none"/>
        </w:rPr>
        <w:t>）提交响应文件截止时间：202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rPr>
        <w:t>日北京时间1</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:00</w:t>
      </w:r>
    </w:p>
    <w:p w14:paraId="4B016F59">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六</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开始时间：202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rPr>
        <w:t>日北京时间1</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:00</w:t>
      </w:r>
    </w:p>
    <w:p w14:paraId="19DE8A7C">
      <w:pPr>
        <w:spacing w:line="400" w:lineRule="exact"/>
        <w:ind w:firstLine="480"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供应商须满足以下两种要件，其投标</w:t>
      </w:r>
      <w:r>
        <w:rPr>
          <w:rFonts w:hint="eastAsia" w:asciiTheme="minorEastAsia" w:hAnsiTheme="minorEastAsia" w:eastAsiaTheme="minorEastAsia" w:cstheme="minorEastAsia"/>
          <w:color w:val="auto"/>
          <w:sz w:val="24"/>
          <w:szCs w:val="24"/>
          <w:highlight w:val="none"/>
          <w:lang w:eastAsia="zh-CN"/>
        </w:rPr>
        <w:t>才能</w:t>
      </w:r>
      <w:r>
        <w:rPr>
          <w:rFonts w:hint="eastAsia" w:asciiTheme="minorEastAsia" w:hAnsiTheme="minorEastAsia" w:eastAsiaTheme="minorEastAsia" w:cstheme="minorEastAsia"/>
          <w:color w:val="auto"/>
          <w:sz w:val="24"/>
          <w:szCs w:val="24"/>
          <w:highlight w:val="none"/>
        </w:rPr>
        <w:t>被接受：</w:t>
      </w:r>
    </w:p>
    <w:p w14:paraId="3138F7C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按时递交了响应文件；</w:t>
      </w:r>
    </w:p>
    <w:p w14:paraId="288D544F">
      <w:pPr>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按时报名签到。</w:t>
      </w:r>
    </w:p>
    <w:bookmarkEnd w:id="20"/>
    <w:p w14:paraId="39A20150">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55" w:name="_Toc2474"/>
      <w:bookmarkStart w:id="56" w:name="_Toc146544482"/>
      <w:bookmarkStart w:id="57" w:name="_Toc20102"/>
      <w:bookmarkStart w:id="58" w:name="_Toc65660336"/>
      <w:bookmarkStart w:id="59" w:name="_Toc19512"/>
      <w:bookmarkStart w:id="60" w:name="_Toc521053055"/>
      <w:bookmarkStart w:id="61" w:name="_Toc6563"/>
      <w:bookmarkStart w:id="62" w:name="_Toc16269"/>
      <w:bookmarkStart w:id="63" w:name="_Toc525047163"/>
      <w:r>
        <w:rPr>
          <w:rFonts w:hint="eastAsia" w:ascii="宋体" w:hAnsi="宋体" w:eastAsia="宋体" w:cs="宋体"/>
          <w:b/>
          <w:color w:val="auto"/>
          <w:sz w:val="24"/>
          <w:szCs w:val="24"/>
          <w:highlight w:val="none"/>
          <w:lang w:val="en-US" w:eastAsia="zh-CN"/>
        </w:rPr>
        <w:t>五、</w:t>
      </w:r>
      <w:bookmarkEnd w:id="55"/>
      <w:bookmarkEnd w:id="56"/>
      <w:bookmarkStart w:id="64" w:name="_Toc25501"/>
      <w:r>
        <w:rPr>
          <w:rFonts w:hint="eastAsia" w:ascii="宋体" w:hAnsi="宋体" w:eastAsia="宋体" w:cs="宋体"/>
          <w:b/>
          <w:color w:val="auto"/>
          <w:sz w:val="24"/>
          <w:szCs w:val="24"/>
          <w:highlight w:val="none"/>
          <w:lang w:val="en-US" w:eastAsia="zh-CN"/>
        </w:rPr>
        <w:t>其他有关规定</w:t>
      </w:r>
      <w:bookmarkEnd w:id="57"/>
      <w:bookmarkEnd w:id="58"/>
      <w:bookmarkEnd w:id="59"/>
      <w:bookmarkEnd w:id="60"/>
      <w:bookmarkEnd w:id="61"/>
      <w:bookmarkEnd w:id="62"/>
      <w:bookmarkEnd w:id="63"/>
      <w:bookmarkEnd w:id="64"/>
    </w:p>
    <w:p w14:paraId="4B3BFC8F">
      <w:pPr>
        <w:spacing w:line="400" w:lineRule="exact"/>
        <w:ind w:firstLine="480" w:firstLineChars="200"/>
        <w:rPr>
          <w:rFonts w:hint="eastAsia" w:asciiTheme="minorEastAsia" w:hAnsiTheme="minorEastAsia" w:eastAsiaTheme="minorEastAsia" w:cstheme="minorEastAsia"/>
          <w:color w:val="auto"/>
          <w:sz w:val="24"/>
          <w:szCs w:val="24"/>
          <w:highlight w:val="none"/>
        </w:rPr>
      </w:pPr>
      <w:bookmarkStart w:id="65" w:name="_Toc525047164"/>
      <w:bookmarkStart w:id="66" w:name="_Toc521053056"/>
      <w:bookmarkStart w:id="67" w:name="_Toc10415"/>
      <w:bookmarkStart w:id="68" w:name="_Toc65660337"/>
      <w:bookmarkStart w:id="69" w:name="_Toc1733"/>
      <w:r>
        <w:rPr>
          <w:rFonts w:hint="eastAsia" w:asciiTheme="minorEastAsia" w:hAnsiTheme="minorEastAsia" w:eastAsiaTheme="minorEastAsia" w:cstheme="minorEastAsia"/>
          <w:color w:val="auto"/>
          <w:sz w:val="24"/>
          <w:szCs w:val="24"/>
          <w:highlight w:val="none"/>
        </w:rPr>
        <w:t>（一）单位负责人为同一人或者存在直接控股、管理关系的不同供应商，不得参加同一合同项（包）下的政府采购活动，否则均为无效响应。</w:t>
      </w:r>
    </w:p>
    <w:p w14:paraId="66C6980F">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（二）为采购项目提供整体设计、规范编制或者项目管理、监理、检测等服务的供应商，不得再参加该采购项目的其他采购活动。</w:t>
      </w:r>
    </w:p>
    <w:p w14:paraId="5787A817">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（三）本项目的澄清文件（如果有）一律在</w:t>
      </w:r>
      <w:r>
        <w:rPr>
          <w:rFonts w:hint="eastAsia" w:asciiTheme="minorEastAsia" w:hAnsiTheme="minorEastAsia" w:eastAsiaTheme="minorEastAsia" w:cstheme="minorEastAsia"/>
          <w:color w:val="auto"/>
          <w:sz w:val="24"/>
          <w:szCs w:val="24"/>
          <w:highlight w:val="none"/>
          <w:lang w:eastAsia="zh-CN"/>
        </w:rPr>
        <w:t>巫山县中医院</w:t>
      </w:r>
      <w:r>
        <w:rPr>
          <w:rFonts w:hint="eastAsia" w:asciiTheme="minorEastAsia" w:hAnsiTheme="minorEastAsia" w:eastAsiaTheme="minorEastAsia" w:cstheme="minorEastAsia"/>
          <w:color w:val="auto"/>
          <w:sz w:val="24"/>
          <w:szCs w:val="24"/>
          <w:highlight w:val="none"/>
        </w:rPr>
        <w:t>官网（</w:t>
      </w:r>
      <w:r>
        <w:rPr>
          <w:rFonts w:hint="eastAsia" w:asciiTheme="minorEastAsia" w:hAnsiTheme="minorEastAsia" w:eastAsiaTheme="minorEastAsia" w:cstheme="minorEastAsia"/>
          <w:color w:val="auto"/>
          <w:sz w:val="24"/>
          <w:szCs w:val="24"/>
          <w:highlight w:val="none"/>
          <w:lang w:eastAsia="zh-CN"/>
        </w:rPr>
        <w:t>http://gw.cqwsxzyy.cn）</w:t>
      </w:r>
      <w:r>
        <w:rPr>
          <w:rFonts w:hint="eastAsia" w:asciiTheme="minorEastAsia" w:hAnsiTheme="minorEastAsia" w:eastAsiaTheme="minorEastAsia" w:cstheme="minorEastAsia"/>
          <w:color w:val="auto"/>
          <w:sz w:val="24"/>
          <w:szCs w:val="24"/>
          <w:highlight w:val="none"/>
        </w:rPr>
        <w:t>上发布，请各供应商注意下载；无论供应商下载与否，均视同供应商已知晓本项目澄清文件（如果有）的内容。</w:t>
      </w:r>
    </w:p>
    <w:p w14:paraId="771CA0CF">
      <w:pPr>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（四）</w:t>
      </w:r>
      <w:r>
        <w:rPr>
          <w:rFonts w:hint="eastAsia" w:asciiTheme="minorEastAsia" w:hAnsiTheme="minorEastAsia" w:eastAsiaTheme="minorEastAsia" w:cstheme="minorEastAsia"/>
          <w:color w:val="auto"/>
          <w:sz w:val="24"/>
          <w:szCs w:val="24"/>
          <w:highlight w:val="none"/>
          <w:lang w:eastAsia="zh-CN"/>
        </w:rPr>
        <w:t>逾期递交的响应文件，恕不接收。</w:t>
      </w:r>
    </w:p>
    <w:p w14:paraId="2E886D83">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（五）</w:t>
      </w:r>
      <w:r>
        <w:rPr>
          <w:rFonts w:hint="eastAsia" w:asciiTheme="minorEastAsia" w:hAnsiTheme="minorEastAsia" w:eastAsiaTheme="minorEastAsia" w:cstheme="minorEastAsia"/>
          <w:color w:val="auto"/>
          <w:sz w:val="24"/>
          <w:szCs w:val="24"/>
          <w:highlight w:val="none"/>
          <w:lang w:eastAsia="zh-CN"/>
        </w:rPr>
        <w:t>磋商费用：无论磋商结果如何，供应商参与本项目磋商产生的所有费用均由供应商自行承担。</w:t>
      </w:r>
    </w:p>
    <w:p w14:paraId="0757FC92">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（六）本项目不接受联合体参与</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，否则按无效处理。</w:t>
      </w:r>
    </w:p>
    <w:p w14:paraId="63CBFE85">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（七）本项目不接受合同分包，否则按无效处理。</w:t>
      </w:r>
    </w:p>
    <w:p w14:paraId="0779665D">
      <w:pPr>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（八）按照《财政部关于在政府采购活动中查询及使用信用记录有关问题的通知》财库〔2016〕125号，</w:t>
      </w:r>
      <w:r>
        <w:rPr>
          <w:rFonts w:hint="eastAsia" w:asciiTheme="minorEastAsia" w:hAnsiTheme="minorEastAsia" w:eastAsiaTheme="minorEastAsia" w:cstheme="minorEastAsia"/>
          <w:color w:val="auto"/>
          <w:sz w:val="24"/>
          <w:szCs w:val="24"/>
          <w:highlight w:val="none"/>
          <w:lang w:eastAsia="zh-CN"/>
        </w:rPr>
        <w:t>供应商被列入失信被执行人、重大税收违法案件当事人名单、政府采购严重违法失信行为记录名单及存在其他不符合《中华人民共和国政府采购法》第二十二条规定条件情形的，将被拒绝参与本次政府采购活动。</w:t>
      </w:r>
    </w:p>
    <w:p w14:paraId="77EC4EEF">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70" w:name="_Toc4996"/>
      <w:bookmarkStart w:id="71" w:name="_Toc15363"/>
      <w:bookmarkStart w:id="72" w:name="_Toc14355"/>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、联系方式</w:t>
      </w:r>
      <w:bookmarkEnd w:id="65"/>
      <w:bookmarkEnd w:id="66"/>
      <w:bookmarkEnd w:id="67"/>
      <w:bookmarkEnd w:id="68"/>
      <w:bookmarkEnd w:id="69"/>
      <w:bookmarkEnd w:id="70"/>
      <w:bookmarkEnd w:id="71"/>
      <w:bookmarkEnd w:id="72"/>
    </w:p>
    <w:p w14:paraId="0B6DE0CD">
      <w:pPr>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（一）采购人：</w:t>
      </w:r>
      <w:r>
        <w:rPr>
          <w:rFonts w:hint="eastAsia" w:asciiTheme="minorEastAsia" w:hAnsiTheme="minorEastAsia" w:eastAsiaTheme="minorEastAsia" w:cstheme="minorEastAsia"/>
          <w:color w:val="auto"/>
          <w:sz w:val="24"/>
          <w:szCs w:val="24"/>
          <w:highlight w:val="none"/>
          <w:lang w:val="en-US" w:eastAsia="zh-CN"/>
        </w:rPr>
        <w:t>巫山县中医院</w:t>
      </w:r>
    </w:p>
    <w:p w14:paraId="295A6A77">
      <w:pPr>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杨雪莲</w:t>
      </w:r>
    </w:p>
    <w:p w14:paraId="087967C8">
      <w:pPr>
        <w:spacing w:line="40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电  话：13308263615</w:t>
      </w:r>
    </w:p>
    <w:p w14:paraId="39EA7BEE">
      <w:pPr>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  址：巫山县广东中路277号</w:t>
      </w:r>
    </w:p>
    <w:p w14:paraId="2D3189DE">
      <w:pPr>
        <w:pStyle w:val="22"/>
        <w:rPr>
          <w:rFonts w:hint="eastAsia" w:asciiTheme="minorEastAsia" w:hAnsiTheme="minorEastAsia" w:eastAsiaTheme="minorEastAsia" w:cstheme="minorEastAsia"/>
          <w:color w:val="auto"/>
          <w:sz w:val="24"/>
          <w:szCs w:val="24"/>
          <w:highlight w:val="none"/>
        </w:rPr>
      </w:pPr>
    </w:p>
    <w:p w14:paraId="4BBAC5DA">
      <w:pPr>
        <w:rPr>
          <w:rFonts w:hint="eastAsia" w:asciiTheme="minorEastAsia" w:hAnsiTheme="minorEastAsia" w:eastAsiaTheme="minorEastAsia" w:cstheme="minorEastAsia"/>
          <w:color w:val="auto"/>
          <w:sz w:val="24"/>
          <w:szCs w:val="24"/>
          <w:highlight w:val="none"/>
        </w:rPr>
        <w:sectPr>
          <w:headerReference r:id="rId7" w:type="default"/>
          <w:footerReference r:id="rId8" w:type="default"/>
          <w:pgSz w:w="11907" w:h="16840"/>
          <w:pgMar w:top="1134" w:right="1418" w:bottom="1134" w:left="1418" w:header="964" w:footer="992" w:gutter="0"/>
          <w:pgNumType w:fmt="decimal" w:start="1"/>
          <w:cols w:space="720" w:num="1"/>
          <w:docGrid w:linePitch="312" w:charSpace="0"/>
        </w:sectPr>
      </w:pPr>
    </w:p>
    <w:p w14:paraId="5FC29782">
      <w:pPr>
        <w:pStyle w:val="2"/>
        <w:keepNext/>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宋体" w:hAnsi="宋体" w:eastAsia="宋体" w:cs="宋体"/>
          <w:b/>
          <w:bCs/>
          <w:color w:val="auto"/>
          <w:highlight w:val="none"/>
        </w:rPr>
      </w:pPr>
      <w:bookmarkStart w:id="73" w:name="_Toc1292"/>
      <w:bookmarkStart w:id="74" w:name="_Toc14516"/>
      <w:bookmarkStart w:id="75" w:name="_Toc65660338"/>
      <w:bookmarkStart w:id="76" w:name="_Toc698"/>
      <w:bookmarkStart w:id="77" w:name="_Toc10038"/>
      <w:bookmarkStart w:id="78" w:name="_Toc6431"/>
      <w:bookmarkStart w:id="79" w:name="_Toc102227313"/>
      <w:r>
        <w:rPr>
          <w:rFonts w:hint="eastAsia" w:ascii="宋体" w:hAnsi="宋体" w:eastAsia="宋体" w:cs="宋体"/>
          <w:b/>
          <w:bCs/>
          <w:color w:val="auto"/>
          <w:highlight w:val="none"/>
        </w:rPr>
        <w:t xml:space="preserve">第二篇  </w:t>
      </w:r>
      <w:bookmarkEnd w:id="73"/>
      <w:bookmarkEnd w:id="74"/>
      <w:bookmarkEnd w:id="75"/>
      <w:r>
        <w:rPr>
          <w:rFonts w:hint="eastAsia" w:ascii="宋体" w:hAnsi="宋体" w:eastAsia="宋体" w:cs="宋体"/>
          <w:b/>
          <w:bCs/>
          <w:color w:val="auto"/>
          <w:highlight w:val="none"/>
        </w:rPr>
        <w:t>项目服务需求</w:t>
      </w:r>
      <w:bookmarkEnd w:id="76"/>
      <w:bookmarkEnd w:id="77"/>
      <w:bookmarkEnd w:id="78"/>
    </w:p>
    <w:p w14:paraId="2EA041E8">
      <w:pPr>
        <w:pStyle w:val="3"/>
        <w:adjustRightInd w:val="0"/>
        <w:snapToGrid w:val="0"/>
        <w:spacing w:before="0" w:after="0" w:line="400" w:lineRule="exact"/>
        <w:ind w:firstLine="482" w:firstLineChars="200"/>
        <w:jc w:val="left"/>
        <w:outlineLvl w:val="0"/>
        <w:rPr>
          <w:rFonts w:hint="eastAsia" w:asciiTheme="minorEastAsia" w:hAnsiTheme="minorEastAsia" w:eastAsiaTheme="minorEastAsia" w:cstheme="minorEastAsia"/>
          <w:b/>
          <w:color w:val="auto"/>
          <w:sz w:val="24"/>
          <w:szCs w:val="24"/>
          <w:highlight w:val="none"/>
          <w:lang w:val="en-US" w:eastAsia="zh-CN"/>
        </w:rPr>
      </w:pPr>
      <w:bookmarkStart w:id="80" w:name="_Toc6635"/>
      <w:bookmarkStart w:id="81" w:name="_Toc30388"/>
      <w:bookmarkStart w:id="82" w:name="_Toc29579"/>
      <w:bookmarkStart w:id="83" w:name="_Toc9729"/>
      <w:bookmarkStart w:id="84" w:name="_Toc31893"/>
      <w:bookmarkStart w:id="85" w:name="_Toc1248"/>
      <w:r>
        <w:rPr>
          <w:rFonts w:hint="eastAsia" w:ascii="宋体" w:hAnsi="宋体" w:eastAsia="宋体" w:cs="宋体"/>
          <w:b/>
          <w:color w:val="auto"/>
          <w:sz w:val="24"/>
          <w:szCs w:val="24"/>
          <w:highlight w:val="none"/>
          <w:lang w:val="en-US" w:eastAsia="zh-CN"/>
        </w:rPr>
        <w:t>一、采购服务内容</w:t>
      </w:r>
      <w:bookmarkEnd w:id="80"/>
      <w:bookmarkEnd w:id="81"/>
      <w:bookmarkEnd w:id="82"/>
      <w:bookmarkEnd w:id="83"/>
      <w:bookmarkEnd w:id="84"/>
      <w:bookmarkEnd w:id="85"/>
    </w:p>
    <w:p w14:paraId="2CBF9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86" w:name="_Toc8547"/>
      <w:bookmarkStart w:id="87" w:name="_Toc21934"/>
      <w:bookmarkStart w:id="88" w:name="_Toc1174"/>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）护工陪护服务范围、时间、内容</w:t>
      </w:r>
      <w:bookmarkEnd w:id="86"/>
      <w:bookmarkEnd w:id="87"/>
      <w:bookmarkEnd w:id="88"/>
    </w:p>
    <w:p w14:paraId="78E3CE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TW"/>
        </w:rPr>
        <w:t>服务</w:t>
      </w:r>
      <w:r>
        <w:rPr>
          <w:rFonts w:hint="eastAsia" w:asciiTheme="minorEastAsia" w:hAnsiTheme="minorEastAsia" w:eastAsiaTheme="minorEastAsia" w:cstheme="minorEastAsia"/>
          <w:color w:val="auto"/>
          <w:sz w:val="24"/>
          <w:szCs w:val="24"/>
          <w:highlight w:val="none"/>
        </w:rPr>
        <w:t>范围及时间</w:t>
      </w:r>
    </w:p>
    <w:p w14:paraId="4AE82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（1）根据患者或家属与护工公司签订的协议提供护工服务。</w:t>
      </w:r>
    </w:p>
    <w:p w14:paraId="401D29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在紧急或特殊情况下，供应商需严格遵照上级及医院工作要求，全力配合完成护工服务相关工作。</w:t>
      </w:r>
    </w:p>
    <w:p w14:paraId="4B4055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护工服务的科室范围以医院业务安排为准，供应商须严格遵守医院的各项安排及工作部署，否则视为违约，采购人有权单方面解除合同。</w:t>
      </w:r>
    </w:p>
    <w:p w14:paraId="1CE5D5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（4）售后服务：接到电话半小时内必须响应；遇突发情况时，立即启动解决预案。</w:t>
      </w:r>
    </w:p>
    <w:p w14:paraId="359250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2.服务内容</w:t>
      </w:r>
    </w:p>
    <w:p w14:paraId="7D94F5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（1）为患者提供护工陪护生活照顾服务。</w:t>
      </w:r>
    </w:p>
    <w:p w14:paraId="67F4D9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（2）护工陪护生活照顾服务的基本要求</w:t>
      </w:r>
    </w:p>
    <w:p w14:paraId="350F2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当患者有护工陪护服务需求时，在患者或家属自愿选择的前提下，由供应商提供护工陪护服务并依规收费，以优质服务满足患者的基本及特殊需求，让患者安心、家属放心，助力患者早日康复。</w:t>
      </w:r>
    </w:p>
    <w:p w14:paraId="46C8F2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3.床单位管理</w:t>
      </w:r>
    </w:p>
    <w:p w14:paraId="7EB14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（1）按照病房管理规范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保持患者病床、地面清洁，私人物品妥善放置。</w:t>
      </w:r>
    </w:p>
    <w:p w14:paraId="627C8A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（2）保持床头柜桌面整洁、床下无杂物。</w:t>
      </w:r>
    </w:p>
    <w:p w14:paraId="1B48B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4.提供增值服务</w:t>
      </w:r>
    </w:p>
    <w:p w14:paraId="0DDFD0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（1）对退役军人、医院在职职工提供8折优惠服务。</w:t>
      </w:r>
    </w:p>
    <w:p w14:paraId="4120EA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（2）对医院在职职工直系亲属提供9折优惠。</w:t>
      </w:r>
    </w:p>
    <w:p w14:paraId="480C37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5.客户纠纷处理</w:t>
      </w:r>
    </w:p>
    <w:p w14:paraId="7408E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（1）供应商须无负债，未出现过因供应商方责任的劳动纠纷，未受到过行政处分及其他未提及的司法风险。（供应商需提供以上证明材料，同时附上法人征信证明、企业信用报告）</w:t>
      </w:r>
    </w:p>
    <w:p w14:paraId="01223A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（2）若供应商与客户方发生纠纷且未及时处理，导致客户方与采购方发生纠纷的，采购人有权立即终止与供应商的合同，同时对履约保证金不予退还。</w:t>
      </w:r>
    </w:p>
    <w:p w14:paraId="5D0F9A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6.供应商应提供微信小程序，功能至少包括护工人员信息展示功能、陪护等级及陪护内容说明、选择预约功能、费用结算功能、评价功能。（提供小程序1张或多张截图，体现上述功能）</w:t>
      </w:r>
    </w:p>
    <w:p w14:paraId="1F4716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bookmarkStart w:id="89" w:name="_Toc27444"/>
      <w:bookmarkStart w:id="90" w:name="_Toc32421"/>
      <w:bookmarkStart w:id="91" w:name="_Toc15068"/>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公益服务岗位</w:t>
      </w:r>
      <w:bookmarkEnd w:id="89"/>
      <w:bookmarkEnd w:id="90"/>
      <w:bookmarkEnd w:id="91"/>
    </w:p>
    <w:p w14:paraId="502D27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中标人根据我院护理服务需求设立公益服务岗位（例如包括院前、院内担架工、配件配送、全院标本运送、中西药房取药服务等），</w:t>
      </w:r>
      <w:r>
        <w:rPr>
          <w:rFonts w:hint="eastAsia" w:asciiTheme="minorEastAsia" w:hAnsiTheme="minorEastAsia" w:eastAsiaTheme="minorEastAsia" w:cstheme="minorEastAsia"/>
          <w:color w:val="auto"/>
          <w:sz w:val="24"/>
          <w:szCs w:val="24"/>
          <w:highlight w:val="none"/>
          <w:lang w:eastAsia="zh-CN"/>
        </w:rPr>
        <w:t>由中标的护工公司全额承担公益服务岗位人员的工资、福利、社保等所有用工相关费用，并对该岗位人员因工作差错、失误等引发的各类纠纷、赔偿责任及法律责任全权负责。</w:t>
      </w:r>
    </w:p>
    <w:p w14:paraId="2CB64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92" w:name="_Toc22296"/>
      <w:bookmarkStart w:id="93" w:name="_Toc5539"/>
      <w:bookmarkStart w:id="94" w:name="_Toc2341"/>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服务要求</w:t>
      </w:r>
      <w:bookmarkEnd w:id="92"/>
      <w:bookmarkEnd w:id="93"/>
      <w:bookmarkEnd w:id="94"/>
    </w:p>
    <w:p w14:paraId="7D3192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严格遵守国家相关法律法规及医院各项规章制度，自觉服从病区的统一管理，全程在执业护士的专业指导下开展工作。</w:t>
      </w:r>
      <w:r>
        <w:rPr>
          <w:rFonts w:hint="eastAsia" w:asciiTheme="minorEastAsia" w:hAnsiTheme="minorEastAsia" w:eastAsiaTheme="minorEastAsia" w:cstheme="minorEastAsia"/>
          <w:color w:val="auto"/>
          <w:sz w:val="24"/>
          <w:szCs w:val="24"/>
          <w:highlight w:val="none"/>
        </w:rPr>
        <w:t>　</w:t>
      </w:r>
    </w:p>
    <w:p w14:paraId="552424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上班期间统一着工作服，保持服装整洁，不得干私活；病房内不得嬉笑打闹、饮酒、抽烟，严禁携带无关人员进入病区。</w:t>
      </w:r>
    </w:p>
    <w:p w14:paraId="12AD67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3.在工作中使用文明用语，动作轻柔、态度和蔼，不得与患者及家属发生争吵或打斗。</w:t>
      </w:r>
    </w:p>
    <w:p w14:paraId="5FEA5F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4.供应商提供的服务内容：</w:t>
      </w:r>
      <w:r>
        <w:rPr>
          <w:rFonts w:hint="eastAsia" w:asciiTheme="minorEastAsia" w:hAnsiTheme="minorEastAsia" w:eastAsiaTheme="minorEastAsia" w:cstheme="minorEastAsia"/>
          <w:color w:val="auto"/>
          <w:sz w:val="24"/>
          <w:szCs w:val="24"/>
          <w:highlight w:val="none"/>
          <w:lang w:eastAsia="zh-CN"/>
        </w:rPr>
        <w:t>在执业护士指导下，参照分级护理标准，遵照不同级别对应的照护服务要求，完成生活照料工作；</w:t>
      </w:r>
    </w:p>
    <w:p w14:paraId="797805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（1）负责服务对象的生活护理，如洗脸、漱口、洗头、洗脚、洗澡等；</w:t>
      </w:r>
    </w:p>
    <w:p w14:paraId="1F27F4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协助服务对象进食、饮水，照料其大小便；</w:t>
      </w:r>
    </w:p>
    <w:p w14:paraId="71DC6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（3）协助服务对象翻身、进行功能锻炼；</w:t>
      </w:r>
    </w:p>
    <w:p w14:paraId="112544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（4）护送并协助服务对象进行检查、理疗</w:t>
      </w:r>
      <w:r>
        <w:rPr>
          <w:rFonts w:hint="eastAsia" w:asciiTheme="minorEastAsia" w:hAnsiTheme="minorEastAsia" w:eastAsiaTheme="minorEastAsia" w:cstheme="minorEastAsia"/>
          <w:color w:val="auto"/>
          <w:sz w:val="24"/>
          <w:szCs w:val="24"/>
          <w:highlight w:val="none"/>
          <w:lang w:eastAsia="zh-CN"/>
        </w:rPr>
        <w:t>和</w:t>
      </w:r>
      <w:r>
        <w:rPr>
          <w:rFonts w:hint="eastAsia" w:asciiTheme="minorEastAsia" w:hAnsiTheme="minorEastAsia" w:eastAsiaTheme="minorEastAsia" w:cstheme="minorEastAsia"/>
          <w:color w:val="auto"/>
          <w:sz w:val="24"/>
          <w:szCs w:val="24"/>
          <w:highlight w:val="none"/>
        </w:rPr>
        <w:t>康复活动；</w:t>
      </w:r>
    </w:p>
    <w:p w14:paraId="08D604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（5）清洁消毒服务对象的脸盆、茶具、便盆等生活用具；</w:t>
      </w:r>
    </w:p>
    <w:p w14:paraId="03D3C0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eastAsia="zh-CN"/>
        </w:rPr>
        <w:t>保障服务对象的安全，满足其基本生活需求；</w:t>
      </w:r>
    </w:p>
    <w:p w14:paraId="45974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eastAsia="zh-CN"/>
        </w:rPr>
        <w:t>必要时协助医护人员掌握服务对象病情，发现异常及时告知医护人员；</w:t>
      </w:r>
    </w:p>
    <w:p w14:paraId="1682C5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（8）在服务对象或家属安排下为其购买生活用品；</w:t>
      </w:r>
    </w:p>
    <w:p w14:paraId="2B032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（9）随时关注服务对象情绪状况，给予适当的心理安慰，有异常情况要告知家属和</w:t>
      </w:r>
      <w:r>
        <w:rPr>
          <w:rFonts w:hint="eastAsia" w:asciiTheme="minorEastAsia" w:hAnsiTheme="minorEastAsia" w:eastAsiaTheme="minorEastAsia" w:cstheme="minorEastAsia"/>
          <w:color w:val="auto"/>
          <w:sz w:val="24"/>
          <w:szCs w:val="24"/>
          <w:highlight w:val="none"/>
          <w:lang w:eastAsia="zh-CN"/>
        </w:rPr>
        <w:t>医护人员</w:t>
      </w:r>
      <w:r>
        <w:rPr>
          <w:rFonts w:hint="eastAsia" w:asciiTheme="minorEastAsia" w:hAnsiTheme="minorEastAsia" w:eastAsiaTheme="minorEastAsia" w:cstheme="minorEastAsia"/>
          <w:color w:val="auto"/>
          <w:sz w:val="24"/>
          <w:szCs w:val="24"/>
          <w:highlight w:val="none"/>
        </w:rPr>
        <w:t>。</w:t>
      </w:r>
    </w:p>
    <w:p w14:paraId="070812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（10）</w:t>
      </w:r>
      <w:r>
        <w:rPr>
          <w:rFonts w:hint="eastAsia" w:asciiTheme="minorEastAsia" w:hAnsiTheme="minorEastAsia" w:eastAsiaTheme="minorEastAsia" w:cstheme="minorEastAsia"/>
          <w:color w:val="auto"/>
          <w:sz w:val="24"/>
          <w:szCs w:val="24"/>
          <w:highlight w:val="none"/>
          <w:lang w:eastAsia="zh-CN"/>
        </w:rPr>
        <w:t>在医护人员指导下做好约束、制动工作，防范服务对象跌倒、烫伤。</w:t>
      </w:r>
    </w:p>
    <w:p w14:paraId="240D1C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5.不得私自向患者及家属暗示或索要钱、物，不占用患者物品。</w:t>
      </w:r>
    </w:p>
    <w:p w14:paraId="5C040C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6.严禁执行任何医疗护理操作，如换液、吸痰、拔管等，发现问题及时报告病区护士处理。</w:t>
      </w:r>
    </w:p>
    <w:p w14:paraId="380C81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连接输液管或者拔出输液管路、调节输液速度、更换引流管等</w:t>
      </w:r>
      <w:r>
        <w:rPr>
          <w:rFonts w:hint="eastAsia" w:asciiTheme="minorEastAsia" w:hAnsiTheme="minorEastAsia" w:eastAsiaTheme="minorEastAsia" w:cstheme="minorEastAsia"/>
          <w:color w:val="auto"/>
          <w:sz w:val="24"/>
          <w:szCs w:val="24"/>
          <w:highlight w:val="none"/>
          <w:lang w:eastAsia="zh-CN"/>
        </w:rPr>
        <w:t>；</w:t>
      </w:r>
    </w:p>
    <w:p w14:paraId="3CC6B8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操作监护仪等急救、诊疗设施设备</w:t>
      </w:r>
      <w:r>
        <w:rPr>
          <w:rFonts w:hint="eastAsia" w:asciiTheme="minorEastAsia" w:hAnsiTheme="minorEastAsia" w:eastAsiaTheme="minorEastAsia" w:cstheme="minorEastAsia"/>
          <w:color w:val="auto"/>
          <w:sz w:val="24"/>
          <w:szCs w:val="24"/>
          <w:highlight w:val="none"/>
          <w:lang w:eastAsia="zh-CN"/>
        </w:rPr>
        <w:t>；</w:t>
      </w:r>
    </w:p>
    <w:p w14:paraId="20CD35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调节氧气开关，更换或者加减湿化瓶用水，为患者做吸痰、雾化吸入等</w:t>
      </w:r>
      <w:r>
        <w:rPr>
          <w:rFonts w:hint="eastAsia" w:asciiTheme="minorEastAsia" w:hAnsiTheme="minorEastAsia" w:eastAsiaTheme="minorEastAsia" w:cstheme="minorEastAsia"/>
          <w:color w:val="auto"/>
          <w:sz w:val="24"/>
          <w:szCs w:val="24"/>
          <w:highlight w:val="none"/>
          <w:lang w:eastAsia="zh-CN"/>
        </w:rPr>
        <w:t>；</w:t>
      </w:r>
    </w:p>
    <w:p w14:paraId="6CBBE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z w:val="24"/>
          <w:szCs w:val="24"/>
          <w:highlight w:val="none"/>
        </w:rPr>
        <w:t>未经卫生技术人员</w:t>
      </w:r>
      <w:r>
        <w:rPr>
          <w:rFonts w:hint="eastAsia" w:asciiTheme="minorEastAsia" w:hAnsiTheme="minorEastAsia" w:eastAsiaTheme="minorEastAsia" w:cstheme="minorEastAsia"/>
          <w:color w:val="auto"/>
          <w:sz w:val="24"/>
          <w:szCs w:val="24"/>
          <w:highlight w:val="none"/>
          <w:lang w:eastAsia="zh-CN"/>
        </w:rPr>
        <w:t>许可，为</w:t>
      </w:r>
      <w:r>
        <w:rPr>
          <w:rFonts w:hint="eastAsia" w:asciiTheme="minorEastAsia" w:hAnsiTheme="minorEastAsia" w:eastAsiaTheme="minorEastAsia" w:cstheme="minorEastAsia"/>
          <w:color w:val="auto"/>
          <w:sz w:val="24"/>
          <w:szCs w:val="24"/>
          <w:highlight w:val="none"/>
        </w:rPr>
        <w:t>鼻饲服务对象灌注食物或者药物；</w:t>
      </w:r>
    </w:p>
    <w:p w14:paraId="3D001B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（5）</w:t>
      </w:r>
      <w:r>
        <w:rPr>
          <w:rFonts w:hint="eastAsia" w:asciiTheme="minorEastAsia" w:hAnsiTheme="minorEastAsia" w:eastAsiaTheme="minorEastAsia" w:cstheme="minorEastAsia"/>
          <w:color w:val="auto"/>
          <w:sz w:val="24"/>
          <w:szCs w:val="24"/>
          <w:highlight w:val="none"/>
        </w:rPr>
        <w:t>未经卫生技术人员指导，做热敷、冷敷</w:t>
      </w:r>
      <w:r>
        <w:rPr>
          <w:rFonts w:hint="eastAsia" w:asciiTheme="minorEastAsia" w:hAnsiTheme="minorEastAsia" w:eastAsiaTheme="minorEastAsia" w:cstheme="minorEastAsia"/>
          <w:color w:val="auto"/>
          <w:sz w:val="24"/>
          <w:szCs w:val="24"/>
          <w:highlight w:val="none"/>
          <w:lang w:eastAsia="zh-CN"/>
        </w:rPr>
        <w:t>；</w:t>
      </w:r>
    </w:p>
    <w:p w14:paraId="771EE3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（6）</w:t>
      </w:r>
      <w:r>
        <w:rPr>
          <w:rFonts w:hint="eastAsia" w:asciiTheme="minorEastAsia" w:hAnsiTheme="minorEastAsia" w:eastAsiaTheme="minorEastAsia" w:cstheme="minorEastAsia"/>
          <w:color w:val="auto"/>
          <w:sz w:val="24"/>
          <w:szCs w:val="24"/>
          <w:highlight w:val="none"/>
        </w:rPr>
        <w:t>未经卫生技术人员同意，为危重、术后或者病情不稳定服务对象更换床单、改变体位或者下床活动等</w:t>
      </w:r>
      <w:r>
        <w:rPr>
          <w:rFonts w:hint="eastAsia" w:asciiTheme="minorEastAsia" w:hAnsiTheme="minorEastAsia" w:eastAsiaTheme="minorEastAsia" w:cstheme="minorEastAsia"/>
          <w:color w:val="auto"/>
          <w:sz w:val="24"/>
          <w:szCs w:val="24"/>
          <w:highlight w:val="none"/>
          <w:lang w:eastAsia="zh-CN"/>
        </w:rPr>
        <w:t>；</w:t>
      </w:r>
    </w:p>
    <w:p w14:paraId="3A6CD9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（7）</w:t>
      </w:r>
      <w:r>
        <w:rPr>
          <w:rFonts w:hint="eastAsia" w:asciiTheme="minorEastAsia" w:hAnsiTheme="minorEastAsia" w:eastAsiaTheme="minorEastAsia" w:cstheme="minorEastAsia"/>
          <w:color w:val="auto"/>
          <w:sz w:val="24"/>
          <w:szCs w:val="24"/>
          <w:highlight w:val="none"/>
        </w:rPr>
        <w:t>为服务对象解释病情</w:t>
      </w:r>
      <w:r>
        <w:rPr>
          <w:rFonts w:hint="eastAsia" w:asciiTheme="minorEastAsia" w:hAnsiTheme="minorEastAsia" w:eastAsiaTheme="minorEastAsia" w:cstheme="minorEastAsia"/>
          <w:color w:val="auto"/>
          <w:sz w:val="24"/>
          <w:szCs w:val="24"/>
          <w:highlight w:val="none"/>
          <w:lang w:eastAsia="zh-CN"/>
        </w:rPr>
        <w:t>；</w:t>
      </w:r>
    </w:p>
    <w:p w14:paraId="5DF47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（8）</w:t>
      </w:r>
      <w:r>
        <w:rPr>
          <w:rFonts w:hint="eastAsia" w:asciiTheme="minorEastAsia" w:hAnsiTheme="minorEastAsia" w:eastAsiaTheme="minorEastAsia" w:cstheme="minorEastAsia"/>
          <w:color w:val="auto"/>
          <w:sz w:val="24"/>
          <w:szCs w:val="24"/>
          <w:highlight w:val="none"/>
        </w:rPr>
        <w:t>开展</w:t>
      </w:r>
      <w:r>
        <w:rPr>
          <w:rFonts w:hint="eastAsia" w:asciiTheme="minorEastAsia" w:hAnsiTheme="minorEastAsia" w:eastAsiaTheme="minorEastAsia" w:cstheme="minorEastAsia"/>
          <w:color w:val="auto"/>
          <w:sz w:val="24"/>
          <w:szCs w:val="24"/>
          <w:highlight w:val="none"/>
          <w:lang w:eastAsia="zh-CN"/>
        </w:rPr>
        <w:t>其他</w:t>
      </w:r>
      <w:r>
        <w:rPr>
          <w:rFonts w:hint="eastAsia" w:asciiTheme="minorEastAsia" w:hAnsiTheme="minorEastAsia" w:eastAsiaTheme="minorEastAsia" w:cstheme="minorEastAsia"/>
          <w:color w:val="auto"/>
          <w:sz w:val="24"/>
          <w:szCs w:val="24"/>
          <w:highlight w:val="none"/>
        </w:rPr>
        <w:t>医疗卫生</w:t>
      </w:r>
      <w:r>
        <w:rPr>
          <w:rFonts w:hint="eastAsia" w:asciiTheme="minorEastAsia" w:hAnsiTheme="minorEastAsia" w:eastAsiaTheme="minorEastAsia" w:cstheme="minorEastAsia"/>
          <w:color w:val="auto"/>
          <w:sz w:val="24"/>
          <w:szCs w:val="24"/>
          <w:highlight w:val="none"/>
          <w:lang w:eastAsia="zh-CN"/>
        </w:rPr>
        <w:t>技术</w:t>
      </w:r>
      <w:r>
        <w:rPr>
          <w:rFonts w:hint="eastAsia" w:asciiTheme="minorEastAsia" w:hAnsiTheme="minorEastAsia" w:eastAsiaTheme="minorEastAsia" w:cstheme="minorEastAsia"/>
          <w:color w:val="auto"/>
          <w:sz w:val="24"/>
          <w:szCs w:val="24"/>
          <w:highlight w:val="none"/>
        </w:rPr>
        <w:t>服务。</w:t>
      </w:r>
    </w:p>
    <w:p w14:paraId="2B3D77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eastAsia="zh-CN"/>
        </w:rPr>
        <w:t>严禁擅自进入医生办公室、治疗室、值班室、护士站等工作场所</w:t>
      </w:r>
      <w:r>
        <w:rPr>
          <w:rFonts w:hint="eastAsia" w:asciiTheme="minorEastAsia" w:hAnsiTheme="minorEastAsia" w:eastAsiaTheme="minorEastAsia" w:cstheme="minorEastAsia"/>
          <w:color w:val="auto"/>
          <w:sz w:val="24"/>
          <w:szCs w:val="24"/>
          <w:highlight w:val="none"/>
        </w:rPr>
        <w:t>，严禁翻阅病历和其他医疗文件。</w:t>
      </w:r>
    </w:p>
    <w:p w14:paraId="76EA56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rPr>
      </w:pPr>
      <w:bookmarkStart w:id="95" w:name="_Toc19549"/>
      <w:bookmarkStart w:id="96" w:name="_Toc656"/>
      <w:bookmarkStart w:id="97" w:name="_Toc21886"/>
      <w:r>
        <w:rPr>
          <w:rFonts w:hint="eastAsia" w:asciiTheme="minorEastAsia" w:hAnsiTheme="minorEastAsia" w:eastAsiaTheme="minorEastAsia" w:cstheme="minorEastAsia"/>
          <w:color w:val="auto"/>
          <w:sz w:val="24"/>
          <w:szCs w:val="24"/>
          <w:highlight w:val="none"/>
          <w:lang w:eastAsia="zh-CN"/>
        </w:rPr>
        <w:t>（四）</w:t>
      </w:r>
      <w:r>
        <w:rPr>
          <w:rFonts w:hint="eastAsia" w:asciiTheme="minorEastAsia" w:hAnsiTheme="minorEastAsia" w:eastAsiaTheme="minorEastAsia" w:cstheme="minorEastAsia"/>
          <w:color w:val="auto"/>
          <w:sz w:val="24"/>
          <w:szCs w:val="24"/>
          <w:highlight w:val="none"/>
        </w:rPr>
        <w:t>人员要求</w:t>
      </w:r>
      <w:bookmarkEnd w:id="95"/>
      <w:bookmarkEnd w:id="96"/>
      <w:bookmarkEnd w:id="97"/>
    </w:p>
    <w:p w14:paraId="200AA8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护工公司配有专业法律顾问，其法律顾问具备国家认可的执业资质，熟悉商业交易、仲裁、诉讼相关法律法规及流程，能够对各类争议进行法律论证并提出解决方案，可代表公司参与纠纷的调解或诉讼，同时公司具备相应的赔偿能力。</w:t>
      </w:r>
    </w:p>
    <w:p w14:paraId="5628A8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护工公司工作人员需统一服装，挂牌上岗，年龄一般要求男员工不大于60周岁，女员工不大于55周岁，若应聘人员身体状况良好、具备专业护理知识与技能，可酌情放宽年龄限制。</w:t>
      </w:r>
    </w:p>
    <w:p w14:paraId="18001B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（3）健康状况：身心健康，持有二级及以上医疗机构出具的健康检查合格证；</w:t>
      </w:r>
    </w:p>
    <w:p w14:paraId="0883B5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（4）思想道德素质：遵纪守法、作风端正、工作认真、服务意识强、能吃苦耐劳，具备爱心、耐心、细心及同理心，有一定的交流沟通能力，无违纪违法行为；</w:t>
      </w:r>
    </w:p>
    <w:p w14:paraId="43005C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eastAsia="zh-CN"/>
        </w:rPr>
        <w:t>须经过相关专业培训并取得对应从业资质，能胜任指定病患照护工作。后期若因国家政策调整导致医院管理模式改革，要求护工具备特定准入资质的，供应商应严格按照相关规定组织护工参加对应培训并取得相应资质，方可安排其从事相关照护工作。</w:t>
      </w:r>
    </w:p>
    <w:p w14:paraId="6D67EC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eastAsia="zh-CN"/>
        </w:rPr>
        <w:t>若供应商派出的工作人员不符合上述要求，医院有权要求供应商立即更换符合条件的工作人员。</w:t>
      </w:r>
    </w:p>
    <w:p w14:paraId="28474D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bookmarkStart w:id="98" w:name="_Toc4395"/>
      <w:bookmarkStart w:id="99" w:name="_Toc21376"/>
      <w:bookmarkStart w:id="100" w:name="_Toc30921"/>
      <w:r>
        <w:rPr>
          <w:rFonts w:hint="eastAsia" w:asciiTheme="minorEastAsia" w:hAnsiTheme="minorEastAsia" w:eastAsiaTheme="minorEastAsia" w:cstheme="minorEastAsia"/>
          <w:color w:val="auto"/>
          <w:sz w:val="24"/>
          <w:szCs w:val="24"/>
          <w:highlight w:val="none"/>
          <w:lang w:val="en-US" w:eastAsia="zh-CN"/>
        </w:rPr>
        <w:t>（五）管理要求</w:t>
      </w:r>
      <w:bookmarkEnd w:id="98"/>
      <w:bookmarkEnd w:id="99"/>
      <w:bookmarkEnd w:id="100"/>
    </w:p>
    <w:p w14:paraId="069CCD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1.供应商须建立完善的管理体系与管理制度，具备良好的社会信誉，能够提供优质规范的陪护服务。</w:t>
      </w:r>
    </w:p>
    <w:p w14:paraId="4238F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为加强对护工的管理，供应商须指定一名总负责人，并配备不少于2名管理人员，负责护工的招聘、用工、薪酬、考核、岗前岗中培训等日常管理工作。培训内容包括但不局限于职业道德（含医德医风教育）、劳动纪律、工作态度、工作职责、公司及医院规章、考核标准（采用理论考试与实践操作相结合的方式，分优秀、合格、不合格三个等级）等；采购方负责组织实施业务培训，包括消毒隔离知识（含院内感染控制规范）、病人卫生处置和生活护理、常见卧位及更换卧位方法、病人转运、健康教育知识、沟通交流技巧（含护患沟通技巧）、紧急情况应急处置（含急救相关技能实操）等。供应商及护工均要服从并配合采购方相关职能部门的督导。</w:t>
      </w:r>
    </w:p>
    <w:p w14:paraId="19AA91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3.供应商须将服务项目对应收费明细交采购方患者服务中心备案，并在提供服务的临床科室挂牌公示，不得擅自更改收费标准。</w:t>
      </w:r>
    </w:p>
    <w:p w14:paraId="5920A5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供应商须将生活护理员的身份证、健康证等复印件交采购人护理部备案，合同期间人员有变动，须及时更新备案信息。供应商应建立服务过程档案，包括生活护理员入职登记表、服务对象生活护理合同（协议）、生活护理员服务满意度调查表、管理人员巡查记录表、投诉处理记录表等。供应商应建立生活护理员档案，包括生活护理员信息采集表、服务合同（协议）、培训和考核记录、奖惩记录等。以上记录随时备医院检查。</w:t>
      </w:r>
    </w:p>
    <w:p w14:paraId="2C8BEA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5.供应商及护工须全力配合采购方及使用科室的管理，厉行节约、爱护各类公共财物，维护病区环境整洁，若人为损坏医院设施设备等须照价赔偿。</w:t>
      </w:r>
    </w:p>
    <w:p w14:paraId="08A4DF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6.采购人与供应商所属护工之间不存在任何劳动、劳务及雇佣关系。护工上下班或工作中的人身安全由护工本人或供应商负责，若发生意外与采购人无关。</w:t>
      </w:r>
    </w:p>
    <w:p w14:paraId="6543A1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7.护工上班期间须仪容仪表整洁，穿工作服、佩戴工作证；使用文明用语，态度亲切，不得与病人或家属发生争吵。</w:t>
      </w:r>
    </w:p>
    <w:p w14:paraId="2B6E25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护工须严格遵守供应商及医院的各项规章制度，上班期间不得从事任何与工作无关的事宜；不得干预正常的医疗护理工作秩序；不得发表涉医疗护理不当言论；不得翻阅病历及其他医疗护理文件；不得做出影响医疗护理安全的超护工照护范畴的事情。</w:t>
      </w:r>
    </w:p>
    <w:p w14:paraId="1DBE9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9.护工不得向患者或家属索要任何钱物等，若有此类现象，一经查实将追究当事人及供应商相关责任。</w:t>
      </w:r>
    </w:p>
    <w:p w14:paraId="4F0D39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10.供应商及护工不得做有损医院、科室声誉和利益的事情。护工若因与患方发生纠纷或自身工作失误给患方造成损失的，供应商应积极妥善处理，采购人不承担任何责任。</w:t>
      </w:r>
    </w:p>
    <w:p w14:paraId="67E5C6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11.经考评不合格的护工，患者服务中心有权责令供应商予以更换。</w:t>
      </w:r>
    </w:p>
    <w:p w14:paraId="7B2E18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供应商在采购人区域范围内开展生活护理项目管理活动时，其使用的印章、标识、标牌、各种宣传资料不得以采购人名义进行宣传；不得向患者和家属做出与采购人有隶属、代理等关系的误导性宣传；不得开展与采购人同类或存在竞争关系的业务相关服务项目；供应商在为采购人服务对象服务时不得私下将服务对象介绍到其他机构谋取利益；供应商应主动维护采购人的社会形象、信誉，不得在任何场所、任何时间散布、宣传有损采购人形象的言论及图文。（提供承诺函，格式自拟）</w:t>
      </w:r>
    </w:p>
    <w:p w14:paraId="671E48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bookmarkStart w:id="101" w:name="_Toc21438"/>
      <w:bookmarkStart w:id="102" w:name="_Toc27190"/>
      <w:bookmarkStart w:id="103" w:name="_Toc27048"/>
      <w:r>
        <w:rPr>
          <w:rFonts w:hint="eastAsia" w:asciiTheme="minorEastAsia" w:hAnsiTheme="minorEastAsia" w:eastAsiaTheme="minorEastAsia" w:cstheme="minorEastAsia"/>
          <w:color w:val="auto"/>
          <w:sz w:val="24"/>
          <w:szCs w:val="24"/>
          <w:highlight w:val="none"/>
          <w:lang w:val="en-US" w:eastAsia="zh-CN"/>
        </w:rPr>
        <w:t>（六）其他要求</w:t>
      </w:r>
      <w:bookmarkEnd w:id="101"/>
      <w:bookmarkEnd w:id="102"/>
      <w:bookmarkEnd w:id="103"/>
    </w:p>
    <w:p w14:paraId="6F575E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1.护工陪护服务收费标准及服务内容在医院主管部门备案。当护工公司拓展新的护工陪护服务内容和方式时，需向医院主管部门报请同意后方能开展。</w:t>
      </w:r>
    </w:p>
    <w:p w14:paraId="3AA208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2.护工陪护服务收费凭据：护工公司收取护工陪护服务费必须征得患者或家属的同意，签订护工陪护服务同意书。</w:t>
      </w:r>
    </w:p>
    <w:p w14:paraId="73F8C8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3.护工公司需明码公示服务价格，统一向患者收取护工服务费，并开具正规收款凭证。</w:t>
      </w:r>
    </w:p>
    <w:p w14:paraId="6BA71FEA">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104" w:name="_Toc7274"/>
      <w:bookmarkStart w:id="105" w:name="_Toc31419"/>
      <w:bookmarkStart w:id="106" w:name="_Toc12382"/>
      <w:bookmarkStart w:id="107" w:name="_Toc31936"/>
      <w:bookmarkStart w:id="108" w:name="_Toc18135"/>
      <w:r>
        <w:rPr>
          <w:rFonts w:hint="eastAsia" w:ascii="宋体" w:hAnsi="宋体" w:eastAsia="宋体" w:cs="宋体"/>
          <w:b/>
          <w:color w:val="auto"/>
          <w:sz w:val="24"/>
          <w:szCs w:val="24"/>
          <w:highlight w:val="none"/>
          <w:lang w:val="en-US" w:eastAsia="zh-CN"/>
        </w:rPr>
        <w:t>二、护工服务监管及考核</w:t>
      </w:r>
      <w:bookmarkEnd w:id="104"/>
      <w:bookmarkEnd w:id="105"/>
      <w:bookmarkEnd w:id="106"/>
      <w:bookmarkEnd w:id="107"/>
      <w:bookmarkEnd w:id="108"/>
    </w:p>
    <w:p w14:paraId="23D2C1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医院有权对护工服务质量和管理进行监督检查及考核，依据《护工考核标准及评分细则》（附件2）对护工进行服务质量考核及满意度调查（附件3、4）。考核涵盖仪容仪表、文明礼仪、工作纪律、消毒隔离、个人卫生等多个维度，例如仪容仪表方面，未按要求着装、佩戴标识不规范等行为每次扣减1分；文明礼仪方面，对患者及家属态度冷硬顶每次扣减2分，泄露患者隐私每次扣减3分；消毒隔离方面，一项不符合要求扣2分；个人卫生方面，头发凌乱有异味、指甲未及时修剪等每发现一项扣1分。考核目标值≥90分，低1分扣100元，以此类推，考核结果提交至医院财务科执行扣罚，并要求护工针对问题立即整改。结合行业护理服务满意度达标标准，连续三次全院平均满意度达不到80分，医院有权解除双方合约关系。</w:t>
      </w:r>
    </w:p>
    <w:p w14:paraId="443774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护工在医疗服务范围内为患者提供服务时，若引发患者或家属投诉，将按医院相关规定予以处罚。被服务对象投诉至院内（护理部、医务科等），经核实为有效投诉的处罚500元/次；投诉至县卫健委处罚1000元/次；投诉至县委、县政府处罚2000元/次，投诉至市级处罚5000元/次，当月连续2次有效投诉或被媒体曝光1次的，在协议期限内累计3次有效投诉或被媒体曝光2次的，医院有权单方面解除合同。</w:t>
      </w:r>
    </w:p>
    <w:p w14:paraId="5A1301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3.因护工陪护服务不当引发患者医疗纠纷，护工公司除承担必需的医疗费用外，造成严重后果者，由护工公司承担由此引起的一切后果（包括民事责任、刑事责任），同时医院有权解除双方合约关系。</w:t>
      </w:r>
    </w:p>
    <w:p w14:paraId="4A3BE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4.未按合同约定多收取病人费用，除退还多收取的费用外，另处以10倍罚款。</w:t>
      </w:r>
    </w:p>
    <w:p w14:paraId="28CD4E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5.未尽事宜由医院和中标方另行在合同中约定。</w:t>
      </w:r>
    </w:p>
    <w:p w14:paraId="55389B3B">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109" w:name="_Toc21410"/>
      <w:bookmarkStart w:id="110" w:name="_Toc4624"/>
      <w:bookmarkStart w:id="111" w:name="_Toc21630"/>
      <w:r>
        <w:rPr>
          <w:rFonts w:hint="eastAsia" w:ascii="宋体" w:hAnsi="宋体" w:eastAsia="宋体" w:cs="宋体"/>
          <w:b/>
          <w:color w:val="auto"/>
          <w:sz w:val="24"/>
          <w:szCs w:val="24"/>
          <w:highlight w:val="none"/>
          <w:lang w:val="en-US" w:eastAsia="zh-CN"/>
        </w:rPr>
        <w:t>三、公益性岗位服务监管及考核</w:t>
      </w:r>
      <w:bookmarkEnd w:id="109"/>
      <w:bookmarkEnd w:id="110"/>
      <w:bookmarkEnd w:id="111"/>
    </w:p>
    <w:p w14:paraId="5DFB113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outlineLvl w:val="1"/>
        <w:rPr>
          <w:rFonts w:hint="eastAsia" w:asciiTheme="minorEastAsia" w:hAnsiTheme="minorEastAsia" w:eastAsiaTheme="minorEastAsia" w:cstheme="minorEastAsia"/>
          <w:b/>
          <w:bCs/>
          <w:color w:val="auto"/>
          <w:sz w:val="24"/>
          <w:szCs w:val="24"/>
          <w:highlight w:val="none"/>
          <w:lang w:val="en-US" w:eastAsia="zh-CN"/>
        </w:rPr>
      </w:pPr>
      <w:bookmarkStart w:id="112" w:name="_Toc14022"/>
      <w:bookmarkStart w:id="113" w:name="_Toc29774"/>
      <w:bookmarkStart w:id="114" w:name="_Toc26606"/>
      <w:r>
        <w:rPr>
          <w:rFonts w:hint="eastAsia" w:asciiTheme="minorEastAsia" w:hAnsiTheme="minorEastAsia" w:eastAsiaTheme="minorEastAsia" w:cstheme="minorEastAsia"/>
          <w:b/>
          <w:bCs/>
          <w:color w:val="auto"/>
          <w:sz w:val="24"/>
          <w:szCs w:val="24"/>
          <w:highlight w:val="none"/>
          <w:lang w:val="en-US" w:eastAsia="zh-CN"/>
        </w:rPr>
        <w:t>院前、院内护工（担架工）考核管理办法</w:t>
      </w:r>
      <w:bookmarkEnd w:id="112"/>
      <w:bookmarkEnd w:id="113"/>
      <w:bookmarkEnd w:id="114"/>
    </w:p>
    <w:p w14:paraId="21FDF8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为规范护工（担架工）管理，强化服务理念，确保院前急救工作顺利开展，经科室讨论研究，制定如下要求及考核办法。</w:t>
      </w:r>
    </w:p>
    <w:p w14:paraId="4266F8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1.年龄55周岁以下（男女不限），身体素质良好，保证充沛的精力。</w:t>
      </w:r>
    </w:p>
    <w:p w14:paraId="14914F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2.具备一定的沟通能力、应急应变能力及灵活度。</w:t>
      </w:r>
    </w:p>
    <w:p w14:paraId="62B6DE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3.工作态度要端正，服从管理，勤劳且具备主动服务意识，急救部对不服从管理的人员有权将其退回陪护部，且该人员不得再从事本岗位工作。</w:t>
      </w:r>
    </w:p>
    <w:p w14:paraId="736790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需经过专业培训后方可上岗，培训内容涵盖相关规章制度、岗位职责、各类转运工具的正确使用、基础急救知识及技能（如心肺复苏、异物梗阻急救等）、不同类型患者的正确搬运方法，以及医护、司乘、护工间的团队协作要点。</w:t>
      </w:r>
    </w:p>
    <w:p w14:paraId="0A54F7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5.陪护部门每年要对所有护工（担架工）进行专业技能操作培训、考核，按照行业标准，每年相关培训考核不得少于2次，且每年至少组织1—2次统一考核。</w:t>
      </w:r>
    </w:p>
    <w:p w14:paraId="3AEB5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6.急救部参与护工（担架工）的考核工作。</w:t>
      </w:r>
    </w:p>
    <w:p w14:paraId="23818A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护士长每月对护工（担架工）按照考核标准进行综合素质考核，考核结果于下一月10日前反馈给护理部。</w:t>
      </w:r>
    </w:p>
    <w:p w14:paraId="459BA6B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22" w:firstLineChars="200"/>
        <w:jc w:val="center"/>
        <w:textAlignment w:val="auto"/>
        <w:outlineLvl w:val="1"/>
        <w:rPr>
          <w:rFonts w:hint="default" w:ascii="宋体" w:hAnsi="宋体" w:eastAsia="宋体" w:cs="宋体"/>
          <w:b/>
          <w:bCs/>
          <w:color w:val="auto"/>
          <w:kern w:val="2"/>
          <w:sz w:val="21"/>
          <w:szCs w:val="21"/>
          <w:highlight w:val="none"/>
          <w:lang w:val="en-US" w:eastAsia="zh-CN" w:bidi="ar-SA"/>
        </w:rPr>
      </w:pPr>
      <w:bookmarkStart w:id="115" w:name="_Toc17407"/>
      <w:bookmarkStart w:id="116" w:name="_Toc29748"/>
      <w:bookmarkStart w:id="117" w:name="_Toc26983"/>
      <w:r>
        <w:rPr>
          <w:rFonts w:hint="eastAsia" w:ascii="宋体" w:hAnsi="宋体" w:eastAsia="宋体" w:cs="宋体"/>
          <w:b/>
          <w:bCs/>
          <w:color w:val="auto"/>
          <w:kern w:val="2"/>
          <w:sz w:val="21"/>
          <w:szCs w:val="21"/>
          <w:highlight w:val="none"/>
          <w:lang w:val="en-US" w:eastAsia="zh-CN" w:bidi="ar-SA"/>
        </w:rPr>
        <w:t>护工（担架工）考核细则（100分）</w:t>
      </w:r>
      <w:bookmarkEnd w:id="115"/>
      <w:bookmarkEnd w:id="116"/>
      <w:bookmarkEnd w:id="117"/>
    </w:p>
    <w:tbl>
      <w:tblPr>
        <w:tblStyle w:val="59"/>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3667"/>
        <w:gridCol w:w="603"/>
        <w:gridCol w:w="2277"/>
        <w:gridCol w:w="1181"/>
      </w:tblGrid>
      <w:tr w14:paraId="3CE3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5" w:type="dxa"/>
            <w:noWrap w:val="0"/>
            <w:vAlign w:val="center"/>
          </w:tcPr>
          <w:p w14:paraId="14779CE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w:t>
            </w:r>
          </w:p>
        </w:tc>
        <w:tc>
          <w:tcPr>
            <w:tcW w:w="3667" w:type="dxa"/>
            <w:noWrap w:val="0"/>
            <w:vAlign w:val="center"/>
          </w:tcPr>
          <w:p w14:paraId="077962C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考核细则</w:t>
            </w:r>
          </w:p>
        </w:tc>
        <w:tc>
          <w:tcPr>
            <w:tcW w:w="603" w:type="dxa"/>
            <w:noWrap w:val="0"/>
            <w:vAlign w:val="center"/>
          </w:tcPr>
          <w:p w14:paraId="18CC4F3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分值</w:t>
            </w:r>
          </w:p>
        </w:tc>
        <w:tc>
          <w:tcPr>
            <w:tcW w:w="2277" w:type="dxa"/>
            <w:noWrap w:val="0"/>
            <w:vAlign w:val="center"/>
          </w:tcPr>
          <w:p w14:paraId="5CC6995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扣分标准</w:t>
            </w:r>
          </w:p>
        </w:tc>
        <w:tc>
          <w:tcPr>
            <w:tcW w:w="1181" w:type="dxa"/>
            <w:noWrap w:val="0"/>
            <w:vAlign w:val="center"/>
          </w:tcPr>
          <w:p w14:paraId="2DFDA82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w:t>
            </w:r>
          </w:p>
        </w:tc>
      </w:tr>
      <w:tr w14:paraId="323D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85" w:type="dxa"/>
            <w:vMerge w:val="restart"/>
            <w:noWrap w:val="0"/>
            <w:vAlign w:val="center"/>
          </w:tcPr>
          <w:p w14:paraId="327399E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规章制度</w:t>
            </w:r>
          </w:p>
          <w:p w14:paraId="4C59222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15分</w:t>
            </w:r>
          </w:p>
        </w:tc>
        <w:tc>
          <w:tcPr>
            <w:tcW w:w="3667" w:type="dxa"/>
            <w:noWrap w:val="0"/>
            <w:vAlign w:val="center"/>
          </w:tcPr>
          <w:p w14:paraId="7DB1445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遵守医院相应规章制度，履行本岗位职责。</w:t>
            </w:r>
          </w:p>
        </w:tc>
        <w:tc>
          <w:tcPr>
            <w:tcW w:w="603" w:type="dxa"/>
            <w:noWrap w:val="0"/>
            <w:vAlign w:val="center"/>
          </w:tcPr>
          <w:p w14:paraId="4775F33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3DA867F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25D9271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DD6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43FE67A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27B8424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严格遵守劳动纪律，不迟到、不早退，24小时值班制，上班期间保持电话通畅、对讲机通畅，收到通知后及时回复。</w:t>
            </w:r>
          </w:p>
        </w:tc>
        <w:tc>
          <w:tcPr>
            <w:tcW w:w="603" w:type="dxa"/>
            <w:noWrap w:val="0"/>
            <w:vAlign w:val="center"/>
          </w:tcPr>
          <w:p w14:paraId="1DF9822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BEE18A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33A86BA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A98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685" w:type="dxa"/>
            <w:vMerge w:val="continue"/>
            <w:noWrap w:val="0"/>
            <w:vAlign w:val="center"/>
          </w:tcPr>
          <w:p w14:paraId="53CEABB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6949515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服从科主任、护士长管理。</w:t>
            </w:r>
          </w:p>
        </w:tc>
        <w:tc>
          <w:tcPr>
            <w:tcW w:w="603" w:type="dxa"/>
            <w:noWrap w:val="0"/>
            <w:vAlign w:val="center"/>
          </w:tcPr>
          <w:p w14:paraId="0668E27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541378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76FDA95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1E84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noWrap w:val="0"/>
            <w:vAlign w:val="center"/>
          </w:tcPr>
          <w:p w14:paraId="37908BB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仪表着装规范</w:t>
            </w:r>
          </w:p>
          <w:p w14:paraId="6DD2EED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56CACEA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规范着装，工作服干净整洁、佩戴胸牌，严禁穿拖鞋、特殊情况做好个人防护。</w:t>
            </w:r>
          </w:p>
        </w:tc>
        <w:tc>
          <w:tcPr>
            <w:tcW w:w="603" w:type="dxa"/>
            <w:noWrap w:val="0"/>
            <w:vAlign w:val="center"/>
          </w:tcPr>
          <w:p w14:paraId="1F0AF0E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2598F37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6815A62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C4C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noWrap w:val="0"/>
            <w:vAlign w:val="center"/>
          </w:tcPr>
          <w:p w14:paraId="09766E5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文明礼仪</w:t>
            </w:r>
          </w:p>
          <w:p w14:paraId="7F8E5E7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08F0135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规范用语，待人热情、礼貌，不讲有损医院形象、歧义的话语。</w:t>
            </w:r>
          </w:p>
        </w:tc>
        <w:tc>
          <w:tcPr>
            <w:tcW w:w="603" w:type="dxa"/>
            <w:noWrap w:val="0"/>
            <w:vAlign w:val="center"/>
          </w:tcPr>
          <w:p w14:paraId="0AB61B1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0209CCF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23173FA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7CF0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5" w:type="dxa"/>
            <w:vMerge w:val="restart"/>
            <w:noWrap w:val="0"/>
            <w:vAlign w:val="center"/>
          </w:tcPr>
          <w:p w14:paraId="7491F0E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工作期间</w:t>
            </w:r>
          </w:p>
          <w:p w14:paraId="14ED34D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行为规范</w:t>
            </w:r>
          </w:p>
          <w:p w14:paraId="06D8449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70分</w:t>
            </w:r>
          </w:p>
        </w:tc>
        <w:tc>
          <w:tcPr>
            <w:tcW w:w="3667" w:type="dxa"/>
            <w:noWrap w:val="0"/>
            <w:vAlign w:val="center"/>
          </w:tcPr>
          <w:p w14:paraId="40883F3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接到调度通知后及时出车（3分钟内必须到达）。</w:t>
            </w:r>
          </w:p>
        </w:tc>
        <w:tc>
          <w:tcPr>
            <w:tcW w:w="603" w:type="dxa"/>
            <w:noWrap w:val="0"/>
            <w:vAlign w:val="center"/>
          </w:tcPr>
          <w:p w14:paraId="04014B8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4FA3108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3E66BA5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480A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85" w:type="dxa"/>
            <w:vMerge w:val="continue"/>
            <w:noWrap w:val="0"/>
            <w:vAlign w:val="center"/>
          </w:tcPr>
          <w:p w14:paraId="7FC8FB0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50C509C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上班期间不得有饮酒、车内吸烟、聚众聊天等不良行为。</w:t>
            </w:r>
          </w:p>
        </w:tc>
        <w:tc>
          <w:tcPr>
            <w:tcW w:w="603" w:type="dxa"/>
            <w:noWrap w:val="0"/>
            <w:vAlign w:val="center"/>
          </w:tcPr>
          <w:p w14:paraId="2990655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78615AE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6AAC9EA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6B23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685" w:type="dxa"/>
            <w:vMerge w:val="continue"/>
            <w:noWrap w:val="0"/>
            <w:vAlign w:val="center"/>
          </w:tcPr>
          <w:p w14:paraId="33AC80E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07A12FE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不得随意拍摄患者、随意向他人提供患者病情、聚众讨论患者病情、侵犯病人隐私等不良行为。</w:t>
            </w:r>
          </w:p>
        </w:tc>
        <w:tc>
          <w:tcPr>
            <w:tcW w:w="603" w:type="dxa"/>
            <w:noWrap w:val="0"/>
            <w:vAlign w:val="center"/>
          </w:tcPr>
          <w:p w14:paraId="13341E0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4F67283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49DFD69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1B75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685" w:type="dxa"/>
            <w:vMerge w:val="continue"/>
            <w:noWrap w:val="0"/>
            <w:vAlign w:val="center"/>
          </w:tcPr>
          <w:p w14:paraId="4FC5E01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0F162A9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上班前检查车载担架、推车、约束带等是否处于备用状态，转运工具是否清洁；每次出车任务结束、院内转运患者后及时整理好转运工具备用。</w:t>
            </w:r>
          </w:p>
        </w:tc>
        <w:tc>
          <w:tcPr>
            <w:tcW w:w="603" w:type="dxa"/>
            <w:noWrap w:val="0"/>
            <w:vAlign w:val="center"/>
          </w:tcPr>
          <w:p w14:paraId="69EAA74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534F091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2A8812C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1"/>
                <w:szCs w:val="21"/>
                <w:highlight w:val="none"/>
                <w:lang w:val="en-US" w:eastAsia="zh-CN" w:bidi="ar-SA"/>
              </w:rPr>
            </w:pPr>
          </w:p>
        </w:tc>
      </w:tr>
      <w:tr w14:paraId="5E13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32AFB4F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4770EA8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定期清洁（每周2—3次）转运工具、特殊情况及时清理；使用后及时定位放置；知晓转运工具的去向，未在位的及时找回；故障时及时告知总务值班护士或护士长</w:t>
            </w:r>
            <w:r>
              <w:rPr>
                <w:rFonts w:hint="eastAsia" w:cs="宋体"/>
                <w:color w:val="auto"/>
                <w:kern w:val="2"/>
                <w:sz w:val="21"/>
                <w:szCs w:val="21"/>
                <w:highlight w:val="none"/>
                <w:lang w:val="en-US" w:eastAsia="zh-CN" w:bidi="ar-SA"/>
              </w:rPr>
              <w:t>，由其</w:t>
            </w:r>
            <w:r>
              <w:rPr>
                <w:rFonts w:hint="eastAsia" w:ascii="宋体" w:hAnsi="宋体" w:eastAsia="宋体" w:cs="宋体"/>
                <w:color w:val="auto"/>
                <w:kern w:val="2"/>
                <w:sz w:val="21"/>
                <w:szCs w:val="21"/>
                <w:highlight w:val="none"/>
                <w:lang w:val="en-US" w:eastAsia="zh-CN" w:bidi="ar-SA"/>
              </w:rPr>
              <w:t>通知相应人员进行维修，故障推车及时做好标记。</w:t>
            </w:r>
          </w:p>
        </w:tc>
        <w:tc>
          <w:tcPr>
            <w:tcW w:w="603" w:type="dxa"/>
            <w:noWrap w:val="0"/>
            <w:vAlign w:val="center"/>
          </w:tcPr>
          <w:p w14:paraId="5EB1199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0EE346D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07084F6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7BC3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20B3296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28191D1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禁止私自向患者及家属收受费用、礼品等不良行为。</w:t>
            </w:r>
          </w:p>
        </w:tc>
        <w:tc>
          <w:tcPr>
            <w:tcW w:w="603" w:type="dxa"/>
            <w:noWrap w:val="0"/>
            <w:vAlign w:val="center"/>
          </w:tcPr>
          <w:p w14:paraId="457317F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9E6D8E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19A01EA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CE6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5" w:type="dxa"/>
            <w:vMerge w:val="continue"/>
            <w:noWrap w:val="0"/>
            <w:vAlign w:val="center"/>
          </w:tcPr>
          <w:p w14:paraId="43133C7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2CCA17F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正确使用各类搬运工具，不得拖、拉、拽等粗鲁行为。</w:t>
            </w:r>
          </w:p>
        </w:tc>
        <w:tc>
          <w:tcPr>
            <w:tcW w:w="603" w:type="dxa"/>
            <w:noWrap w:val="0"/>
            <w:vAlign w:val="center"/>
          </w:tcPr>
          <w:p w14:paraId="67DBFB6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13D9515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6F459D4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B57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685" w:type="dxa"/>
            <w:vMerge w:val="continue"/>
            <w:noWrap w:val="0"/>
            <w:vAlign w:val="center"/>
          </w:tcPr>
          <w:p w14:paraId="5B4BC93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2B18A0E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根据患者具体情况，在医生、护士指导下规范搬运患者（尤其是肢体无力、颈椎、脊柱外伤等）</w:t>
            </w:r>
            <w:r>
              <w:rPr>
                <w:rFonts w:hint="eastAsia" w:cs="宋体"/>
                <w:color w:val="auto"/>
                <w:kern w:val="2"/>
                <w:sz w:val="21"/>
                <w:szCs w:val="21"/>
                <w:highlight w:val="none"/>
                <w:lang w:val="en-US" w:eastAsia="zh-CN" w:bidi="ar-SA"/>
              </w:rPr>
              <w:t>，避免</w:t>
            </w:r>
            <w:r>
              <w:rPr>
                <w:rFonts w:hint="eastAsia" w:ascii="宋体" w:hAnsi="宋体" w:eastAsia="宋体" w:cs="宋体"/>
                <w:color w:val="auto"/>
                <w:kern w:val="2"/>
                <w:sz w:val="21"/>
                <w:szCs w:val="21"/>
                <w:highlight w:val="none"/>
                <w:lang w:val="en-US" w:eastAsia="zh-CN" w:bidi="ar-SA"/>
              </w:rPr>
              <w:t>造成二次伤害。</w:t>
            </w:r>
          </w:p>
        </w:tc>
        <w:tc>
          <w:tcPr>
            <w:tcW w:w="603" w:type="dxa"/>
            <w:noWrap w:val="0"/>
            <w:vAlign w:val="center"/>
          </w:tcPr>
          <w:p w14:paraId="5DCA778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2980866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67375FA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62FC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85" w:type="dxa"/>
            <w:vMerge w:val="continue"/>
            <w:noWrap w:val="0"/>
            <w:vAlign w:val="center"/>
          </w:tcPr>
          <w:p w14:paraId="36B0964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15B7F99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不得干预、参与任何医疗行为。</w:t>
            </w:r>
          </w:p>
        </w:tc>
        <w:tc>
          <w:tcPr>
            <w:tcW w:w="603" w:type="dxa"/>
            <w:noWrap w:val="0"/>
            <w:vAlign w:val="center"/>
          </w:tcPr>
          <w:p w14:paraId="5D8C41D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069EA15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56118CB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44C9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685" w:type="dxa"/>
            <w:vMerge w:val="continue"/>
            <w:noWrap w:val="0"/>
            <w:vAlign w:val="center"/>
          </w:tcPr>
          <w:p w14:paraId="33C4D57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5E6487D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现场服从医护人员调配，与医生、护士、司机做好团队协作工作。</w:t>
            </w:r>
          </w:p>
        </w:tc>
        <w:tc>
          <w:tcPr>
            <w:tcW w:w="603" w:type="dxa"/>
            <w:noWrap w:val="0"/>
            <w:vAlign w:val="center"/>
          </w:tcPr>
          <w:p w14:paraId="37C33FB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8C7CA4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18A5069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EFF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85" w:type="dxa"/>
            <w:vMerge w:val="continue"/>
            <w:noWrap w:val="0"/>
            <w:vAlign w:val="center"/>
          </w:tcPr>
          <w:p w14:paraId="79CD761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6A2E50C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因个人操作不当、其他不可控因素导致出现不良事件，应及时主动上报陪护管理员或科主任、护士长，不得隐瞒。</w:t>
            </w:r>
          </w:p>
        </w:tc>
        <w:tc>
          <w:tcPr>
            <w:tcW w:w="603" w:type="dxa"/>
            <w:noWrap w:val="0"/>
            <w:vAlign w:val="center"/>
          </w:tcPr>
          <w:p w14:paraId="67012E2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0B35848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45019D8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6C71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85" w:type="dxa"/>
            <w:noWrap w:val="0"/>
            <w:vAlign w:val="center"/>
          </w:tcPr>
          <w:p w14:paraId="7CC084D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定期开展专业技能培训</w:t>
            </w:r>
          </w:p>
          <w:p w14:paraId="61FDDB3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4946510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每年陪护部门对护工开展集中培训1—2次，并考核。</w:t>
            </w:r>
          </w:p>
        </w:tc>
        <w:tc>
          <w:tcPr>
            <w:tcW w:w="603" w:type="dxa"/>
            <w:noWrap w:val="0"/>
            <w:vAlign w:val="center"/>
          </w:tcPr>
          <w:p w14:paraId="74949B9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118C60E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一项不符合扣5分</w:t>
            </w:r>
          </w:p>
        </w:tc>
        <w:tc>
          <w:tcPr>
            <w:tcW w:w="1181" w:type="dxa"/>
            <w:noWrap w:val="0"/>
            <w:vAlign w:val="center"/>
          </w:tcPr>
          <w:p w14:paraId="1C6D0EB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bl>
    <w:p w14:paraId="01D87D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考核说明：考核得分低于90分（不含90分），每扣1分扣除保证金100元；低于80分（不含80分），扣除保证金2000元，并要求提交书面整改方案且限期落实；连续三次考核得分低于80分的，直接解除协议。</w:t>
      </w:r>
    </w:p>
    <w:p w14:paraId="49569313">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lang w:val="en-US" w:eastAsia="zh-CN"/>
        </w:rPr>
      </w:pPr>
      <w:bookmarkStart w:id="118" w:name="_Toc22570"/>
      <w:bookmarkStart w:id="119" w:name="_Toc18515"/>
      <w:bookmarkStart w:id="120" w:name="_Toc17192"/>
      <w:r>
        <w:rPr>
          <w:rFonts w:hint="eastAsia" w:ascii="宋体" w:hAnsi="宋体" w:eastAsia="宋体" w:cs="宋体"/>
          <w:b/>
          <w:color w:val="auto"/>
          <w:sz w:val="24"/>
          <w:szCs w:val="24"/>
          <w:highlight w:val="none"/>
          <w:lang w:val="en-US" w:eastAsia="zh-CN"/>
        </w:rPr>
        <w:t>四、其他</w:t>
      </w:r>
      <w:bookmarkEnd w:id="118"/>
      <w:bookmarkEnd w:id="119"/>
      <w:bookmarkEnd w:id="120"/>
    </w:p>
    <w:p w14:paraId="179569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TW"/>
        </w:rPr>
        <w:t>1.</w:t>
      </w:r>
      <w:r>
        <w:rPr>
          <w:rFonts w:hint="eastAsia" w:ascii="宋体" w:hAnsi="宋体" w:eastAsia="宋体" w:cs="宋体"/>
          <w:color w:val="auto"/>
          <w:sz w:val="24"/>
          <w:szCs w:val="24"/>
          <w:highlight w:val="none"/>
          <w:lang w:val="en-US" w:eastAsia="zh-CN"/>
        </w:rPr>
        <w:t>风险责任认定</w:t>
      </w:r>
    </w:p>
    <w:p w14:paraId="3A3F0A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护工公司所聘用人员在工作过程中，若导致患者受到伤害或利益受损，相关事宜均由中标人负责处理，并承担全部法律责任及经济赔偿。中标人及其所聘用人员在工作中因各种原因受到伤害或发生意外的，由护工公司承担全部责任及经济赔偿。</w:t>
      </w:r>
      <w:r>
        <w:rPr>
          <w:rFonts w:hint="eastAsia" w:ascii="宋体" w:hAnsi="宋体" w:eastAsia="宋体" w:cs="宋体"/>
          <w:color w:val="auto"/>
          <w:sz w:val="24"/>
          <w:szCs w:val="24"/>
          <w:highlight w:val="none"/>
          <w:lang w:val="en-US" w:eastAsia="zh-CN"/>
        </w:rPr>
        <w:t>护工</w:t>
      </w:r>
      <w:r>
        <w:rPr>
          <w:rFonts w:hint="eastAsia" w:ascii="宋体" w:hAnsi="宋体" w:eastAsia="宋体" w:cs="宋体"/>
          <w:color w:val="auto"/>
          <w:sz w:val="24"/>
          <w:szCs w:val="24"/>
          <w:highlight w:val="none"/>
          <w:lang w:val="en-US" w:eastAsia="zh-TW"/>
        </w:rPr>
        <w:t>公司及所聘用的人员因违反法律法规及医院规章制度造成的</w:t>
      </w:r>
      <w:r>
        <w:rPr>
          <w:rFonts w:hint="eastAsia" w:ascii="宋体" w:hAnsi="宋体" w:cs="宋体"/>
          <w:color w:val="auto"/>
          <w:sz w:val="24"/>
          <w:szCs w:val="24"/>
          <w:highlight w:val="none"/>
          <w:lang w:val="en-US" w:eastAsia="zh-CN"/>
        </w:rPr>
        <w:t>损害</w:t>
      </w:r>
      <w:r>
        <w:rPr>
          <w:rFonts w:hint="eastAsia" w:ascii="宋体" w:hAnsi="宋体" w:eastAsia="宋体" w:cs="宋体"/>
          <w:color w:val="auto"/>
          <w:sz w:val="24"/>
          <w:szCs w:val="24"/>
          <w:highlight w:val="none"/>
          <w:lang w:val="en-US" w:eastAsia="zh-CN"/>
        </w:rPr>
        <w:t>，由护工公司</w:t>
      </w:r>
      <w:r>
        <w:rPr>
          <w:rFonts w:hint="eastAsia" w:ascii="宋体" w:hAnsi="宋体" w:eastAsia="宋体" w:cs="宋体"/>
          <w:color w:val="auto"/>
          <w:sz w:val="24"/>
          <w:szCs w:val="24"/>
          <w:highlight w:val="none"/>
          <w:lang w:val="en-US" w:eastAsia="zh-TW"/>
        </w:rPr>
        <w:t>承担责任，</w:t>
      </w:r>
      <w:r>
        <w:rPr>
          <w:rFonts w:hint="eastAsia" w:ascii="宋体" w:hAnsi="宋体" w:eastAsia="宋体" w:cs="宋体"/>
          <w:color w:val="auto"/>
          <w:sz w:val="24"/>
          <w:szCs w:val="24"/>
          <w:highlight w:val="none"/>
          <w:lang w:val="en-US" w:eastAsia="zh-CN"/>
        </w:rPr>
        <w:t>医院</w:t>
      </w:r>
      <w:r>
        <w:rPr>
          <w:rFonts w:hint="eastAsia" w:ascii="宋体" w:hAnsi="宋体" w:eastAsia="宋体" w:cs="宋体"/>
          <w:color w:val="auto"/>
          <w:sz w:val="24"/>
          <w:szCs w:val="24"/>
          <w:highlight w:val="none"/>
          <w:lang w:val="en-US" w:eastAsia="zh-TW"/>
        </w:rPr>
        <w:t>免责。</w:t>
      </w:r>
    </w:p>
    <w:p w14:paraId="301D1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TW"/>
        </w:rPr>
        <w:t>.护工公司服务所需的护工服装、</w:t>
      </w:r>
      <w:r>
        <w:rPr>
          <w:rFonts w:hint="eastAsia" w:ascii="宋体" w:hAnsi="宋体" w:eastAsia="宋体" w:cs="宋体"/>
          <w:color w:val="auto"/>
          <w:sz w:val="24"/>
          <w:szCs w:val="24"/>
          <w:highlight w:val="none"/>
          <w:lang w:val="en-US" w:eastAsia="zh-CN"/>
        </w:rPr>
        <w:t>护理用具、</w:t>
      </w:r>
      <w:r>
        <w:rPr>
          <w:rFonts w:hint="eastAsia" w:ascii="宋体" w:hAnsi="宋体" w:eastAsia="宋体" w:cs="宋体"/>
          <w:color w:val="auto"/>
          <w:sz w:val="24"/>
          <w:szCs w:val="24"/>
          <w:highlight w:val="none"/>
          <w:lang w:val="en-US" w:eastAsia="zh-TW"/>
        </w:rPr>
        <w:t>办公设施由护工公司自行提供。</w:t>
      </w:r>
    </w:p>
    <w:p w14:paraId="7059DB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TW"/>
        </w:rPr>
      </w:pPr>
      <w:r>
        <w:rPr>
          <w:rFonts w:hint="eastAsia" w:ascii="宋体" w:hAnsi="宋体" w:eastAsia="宋体" w:cs="宋体"/>
          <w:color w:val="auto"/>
          <w:sz w:val="24"/>
          <w:szCs w:val="24"/>
          <w:highlight w:val="none"/>
          <w:lang w:val="en-US" w:eastAsia="zh-CN"/>
        </w:rPr>
        <w:t>3.医院提供科室</w:t>
      </w:r>
      <w:r>
        <w:rPr>
          <w:rFonts w:hint="eastAsia" w:ascii="宋体" w:hAnsi="宋体" w:eastAsia="宋体" w:cs="宋体"/>
          <w:color w:val="auto"/>
          <w:sz w:val="24"/>
          <w:szCs w:val="24"/>
          <w:highlight w:val="none"/>
          <w:lang w:val="en-US" w:eastAsia="zh-TW"/>
        </w:rPr>
        <w:t>送药篮、标本箱供护工公司进行药品、标本运送工作；</w:t>
      </w:r>
      <w:r>
        <w:rPr>
          <w:rFonts w:hint="eastAsia" w:ascii="宋体" w:hAnsi="宋体" w:eastAsia="宋体" w:cs="宋体"/>
          <w:color w:val="auto"/>
          <w:sz w:val="24"/>
          <w:szCs w:val="24"/>
          <w:highlight w:val="none"/>
          <w:lang w:val="en-US" w:eastAsia="zh-CN"/>
        </w:rPr>
        <w:t>提供科室轮椅、平车供护工公司护送患者检查治疗使用。</w:t>
      </w:r>
      <w:r>
        <w:rPr>
          <w:rFonts w:hint="eastAsia" w:ascii="宋体" w:hAnsi="宋体" w:cs="宋体"/>
          <w:color w:val="auto"/>
          <w:sz w:val="24"/>
          <w:szCs w:val="24"/>
          <w:highlight w:val="none"/>
          <w:lang w:val="en-US" w:eastAsia="zh-CN"/>
        </w:rPr>
        <w:t>护工公司应爱护使用，若因护工人员操作不当或人为损坏，由护工公司负责赔偿；若因设备正常损耗或非护工公司原因造成的损坏，由医院负责维修。</w:t>
      </w:r>
    </w:p>
    <w:p w14:paraId="276630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14:paraId="48C1EA22">
      <w:pPr>
        <w:pStyle w:val="2"/>
        <w:bidi w:val="0"/>
        <w:ind w:firstLine="723" w:firstLineChars="200"/>
        <w:rPr>
          <w:rStyle w:val="68"/>
          <w:rFonts w:hint="eastAsia" w:ascii="宋体" w:hAnsi="宋体" w:eastAsia="宋体" w:cs="宋体"/>
          <w:color w:val="auto"/>
          <w:highlight w:val="none"/>
        </w:rPr>
      </w:pPr>
      <w:r>
        <w:rPr>
          <w:rFonts w:hint="eastAsia" w:ascii="宋体" w:hAnsi="宋体" w:eastAsia="宋体" w:cs="宋体"/>
          <w:b/>
          <w:color w:val="auto"/>
          <w:sz w:val="36"/>
          <w:szCs w:val="30"/>
          <w:highlight w:val="none"/>
        </w:rPr>
        <w:br w:type="page"/>
      </w:r>
      <w:bookmarkStart w:id="121" w:name="_Toc65660341"/>
      <w:bookmarkStart w:id="122" w:name="_Toc15492"/>
      <w:bookmarkStart w:id="123" w:name="_Toc13356"/>
      <w:bookmarkStart w:id="124" w:name="_Toc9170"/>
      <w:bookmarkStart w:id="125" w:name="_Toc18867"/>
      <w:bookmarkStart w:id="126" w:name="_Toc9514"/>
      <w:r>
        <w:rPr>
          <w:rStyle w:val="68"/>
          <w:rFonts w:hint="eastAsia" w:ascii="宋体" w:hAnsi="宋体" w:eastAsia="宋体" w:cs="宋体"/>
          <w:color w:val="auto"/>
          <w:highlight w:val="none"/>
        </w:rPr>
        <w:t xml:space="preserve">第三篇  </w:t>
      </w:r>
      <w:bookmarkEnd w:id="79"/>
      <w:bookmarkEnd w:id="121"/>
      <w:bookmarkEnd w:id="122"/>
      <w:bookmarkEnd w:id="123"/>
      <w:r>
        <w:rPr>
          <w:rStyle w:val="68"/>
          <w:rFonts w:hint="eastAsia" w:ascii="宋体" w:hAnsi="宋体" w:eastAsia="宋体" w:cs="宋体"/>
          <w:color w:val="auto"/>
          <w:highlight w:val="none"/>
        </w:rPr>
        <w:t>项目商务需求</w:t>
      </w:r>
      <w:bookmarkEnd w:id="124"/>
      <w:bookmarkEnd w:id="125"/>
      <w:bookmarkEnd w:id="126"/>
    </w:p>
    <w:p w14:paraId="3576A27A">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27" w:name="_Toc9411"/>
      <w:bookmarkStart w:id="128" w:name="_Toc436143955"/>
      <w:bookmarkStart w:id="129" w:name="_Toc22877"/>
      <w:bookmarkStart w:id="130" w:name="_Toc15786"/>
      <w:bookmarkStart w:id="131" w:name="_Toc430"/>
      <w:bookmarkStart w:id="132" w:name="_Toc342913389"/>
      <w:r>
        <w:rPr>
          <w:rFonts w:hint="eastAsia" w:ascii="宋体" w:hAnsi="宋体" w:eastAsia="宋体" w:cs="宋体"/>
          <w:b/>
          <w:color w:val="auto"/>
          <w:sz w:val="24"/>
          <w:szCs w:val="24"/>
          <w:highlight w:val="none"/>
        </w:rPr>
        <w:t>一、服务</w:t>
      </w:r>
      <w:r>
        <w:rPr>
          <w:rFonts w:hint="eastAsia" w:ascii="宋体" w:hAnsi="宋体" w:eastAsia="宋体" w:cs="宋体"/>
          <w:b/>
          <w:color w:val="auto"/>
          <w:sz w:val="24"/>
          <w:szCs w:val="24"/>
          <w:highlight w:val="none"/>
          <w:lang w:val="en-US" w:eastAsia="zh-CN"/>
        </w:rPr>
        <w:t>期</w:t>
      </w:r>
      <w:r>
        <w:rPr>
          <w:rFonts w:hint="eastAsia" w:ascii="宋体" w:hAnsi="宋体" w:eastAsia="宋体" w:cs="宋体"/>
          <w:b/>
          <w:color w:val="auto"/>
          <w:sz w:val="24"/>
          <w:szCs w:val="24"/>
          <w:highlight w:val="none"/>
        </w:rPr>
        <w:t>、地点及验收方式</w:t>
      </w:r>
      <w:bookmarkEnd w:id="127"/>
      <w:bookmarkEnd w:id="128"/>
      <w:bookmarkEnd w:id="129"/>
      <w:bookmarkEnd w:id="130"/>
      <w:bookmarkEnd w:id="131"/>
    </w:p>
    <w:p w14:paraId="251C84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w:t>
      </w:r>
      <w:r>
        <w:rPr>
          <w:rFonts w:hint="eastAsia" w:ascii="宋体" w:hAnsi="宋体" w:eastAsia="宋体" w:cs="宋体"/>
          <w:color w:val="auto"/>
          <w:sz w:val="24"/>
          <w:szCs w:val="24"/>
          <w:highlight w:val="none"/>
          <w:lang w:val="en-US" w:eastAsia="zh-CN"/>
        </w:rPr>
        <w:t>服务期</w:t>
      </w:r>
      <w:r>
        <w:rPr>
          <w:rFonts w:hint="eastAsia" w:ascii="宋体" w:hAnsi="宋体" w:eastAsia="宋体" w:cs="宋体"/>
          <w:color w:val="auto"/>
          <w:sz w:val="24"/>
          <w:szCs w:val="24"/>
          <w:highlight w:val="none"/>
          <w:lang w:eastAsia="zh-CN"/>
        </w:rPr>
        <w:t>：</w:t>
      </w:r>
      <w:bookmarkStart w:id="133" w:name="_Toc344475121"/>
      <w:bookmarkStart w:id="134" w:name="_Toc344475122"/>
      <w:bookmarkStart w:id="135" w:name="_Toc408571022"/>
      <w:bookmarkStart w:id="136" w:name="_Toc409084481"/>
      <w:r>
        <w:rPr>
          <w:rFonts w:hint="eastAsia" w:ascii="宋体" w:hAnsi="宋体" w:cs="宋体"/>
          <w:color w:val="auto"/>
          <w:sz w:val="24"/>
          <w:szCs w:val="24"/>
          <w:highlight w:val="none"/>
          <w:lang w:eastAsia="zh-CN"/>
        </w:rPr>
        <w:t>服务期限为</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年，合同一年一签，经医院考评合格后再签订第二年合同。</w:t>
      </w:r>
    </w:p>
    <w:p w14:paraId="35B5F4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lang w:eastAsia="zh-CN"/>
        </w:rPr>
        <w:t>地点：巫山县中医院</w:t>
      </w:r>
    </w:p>
    <w:p w14:paraId="5ABA4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（三）验收方式：</w:t>
      </w:r>
      <w:r>
        <w:rPr>
          <w:rFonts w:hint="eastAsia" w:ascii="宋体" w:hAnsi="宋体" w:eastAsia="宋体" w:cs="宋体"/>
          <w:color w:val="auto"/>
          <w:sz w:val="24"/>
          <w:szCs w:val="24"/>
          <w:highlight w:val="none"/>
        </w:rPr>
        <w:t>根据护工服务监管及考核内容（详见第二篇采购项目服务及相关要求）进行考核。</w:t>
      </w:r>
    </w:p>
    <w:bookmarkEnd w:id="133"/>
    <w:bookmarkEnd w:id="134"/>
    <w:bookmarkEnd w:id="135"/>
    <w:bookmarkEnd w:id="136"/>
    <w:p w14:paraId="0E774D46">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37" w:name="_Toc436143956"/>
      <w:bookmarkStart w:id="138" w:name="_Toc6863"/>
      <w:bookmarkStart w:id="139" w:name="_Toc28559"/>
      <w:bookmarkStart w:id="140" w:name="_Toc12221"/>
      <w:bookmarkStart w:id="141" w:name="_Toc28481"/>
      <w:r>
        <w:rPr>
          <w:rFonts w:hint="eastAsia" w:ascii="宋体" w:hAnsi="宋体" w:eastAsia="宋体" w:cs="宋体"/>
          <w:b/>
          <w:color w:val="auto"/>
          <w:sz w:val="24"/>
          <w:szCs w:val="24"/>
          <w:highlight w:val="none"/>
        </w:rPr>
        <w:t>二、报价要求</w:t>
      </w:r>
      <w:bookmarkEnd w:id="137"/>
      <w:bookmarkEnd w:id="138"/>
      <w:bookmarkEnd w:id="139"/>
      <w:bookmarkEnd w:id="140"/>
      <w:bookmarkEnd w:id="141"/>
    </w:p>
    <w:p w14:paraId="7F3977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本次报价以人民币为计价单位，报价应包含满足本项目所有技术要求的服务及相关事宜所产生的全部费用。</w:t>
      </w:r>
    </w:p>
    <w:p w14:paraId="33865AB1">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142" w:name="_Toc18563"/>
      <w:bookmarkStart w:id="143" w:name="_Toc24385"/>
      <w:bookmarkStart w:id="144" w:name="_Toc436143957"/>
      <w:bookmarkStart w:id="145" w:name="_Toc17913"/>
      <w:bookmarkStart w:id="146" w:name="_Toc26901"/>
      <w:r>
        <w:rPr>
          <w:rFonts w:hint="eastAsia" w:ascii="宋体" w:hAnsi="宋体" w:eastAsia="宋体" w:cs="宋体"/>
          <w:b/>
          <w:color w:val="auto"/>
          <w:sz w:val="24"/>
          <w:szCs w:val="24"/>
          <w:highlight w:val="none"/>
        </w:rPr>
        <w:t>三、付款方式</w:t>
      </w:r>
      <w:bookmarkEnd w:id="142"/>
      <w:bookmarkEnd w:id="143"/>
      <w:bookmarkEnd w:id="144"/>
      <w:bookmarkEnd w:id="145"/>
      <w:bookmarkEnd w:id="146"/>
    </w:p>
    <w:p w14:paraId="068B86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bookmarkStart w:id="147" w:name="_Toc436143958"/>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项目履约保证金：</w:t>
      </w:r>
      <w:r>
        <w:rPr>
          <w:rFonts w:hint="eastAsia" w:hAnsi="宋体" w:cs="Times New Roman"/>
          <w:bCs/>
          <w:color w:val="auto"/>
          <w:sz w:val="24"/>
          <w:highlight w:val="none"/>
          <w:lang w:eastAsia="zh-CN"/>
        </w:rPr>
        <w:t>在履行合同前或续签合同前</w:t>
      </w:r>
      <w:r>
        <w:rPr>
          <w:rFonts w:hint="eastAsia" w:ascii="宋体" w:hAnsi="宋体" w:cs="宋体"/>
          <w:color w:val="auto"/>
          <w:sz w:val="24"/>
          <w:szCs w:val="24"/>
          <w:highlight w:val="none"/>
          <w:lang w:val="en-US" w:eastAsia="zh-CN"/>
        </w:rPr>
        <w:t>，提交1万元的履约保证金，该金额符合《中华人民共和国政府采购法》和《中华人民共和国招标投标法实施条例》等相关规定。履约保证期满，无服务质量等问题，中标人按采购人要求提交相关资料，采购人在收到相关资料后15个工作日内无息退还履约保证金。若发生供应商违约情形，导致解除合同，履约保证金不退还。给采购人造成损失的，供应商依法承担违约赔偿责任。根据《中华人民共和国民法典》相关规定，损失赔偿额应当相当于因违约所造成的损失，包括合同履行后可以获得的利益，但不得超过违约一方订立合同时预见到或者应当预见到的因违约可能造成的损失。若双方约定了违约金，约定的违约金低于造成的损失的，人民法院或者仲裁机构可以根据当事人的请求予以增加；约定的违约金过分高于造成的损失的，人民法院或者仲裁机构可以根据当事人的请求予以适当减少。如果双方并未约定违约金，赔偿标准可参照银行同期贷款利率来认定。</w:t>
      </w:r>
    </w:p>
    <w:p w14:paraId="51380C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2.护工服务费用：</w:t>
      </w:r>
      <w:r>
        <w:rPr>
          <w:rFonts w:hint="eastAsia" w:ascii="宋体" w:hAnsi="宋体" w:cs="宋体"/>
          <w:color w:val="auto"/>
          <w:sz w:val="24"/>
          <w:szCs w:val="24"/>
          <w:highlight w:val="none"/>
          <w:lang w:val="en-US" w:eastAsia="zh-CN"/>
        </w:rPr>
        <w:t>由患方自主选择陪护等级，护工公司按选定等级提供对应服务，并依照收费标准向患方据实收取护工服务费用。</w:t>
      </w:r>
    </w:p>
    <w:p w14:paraId="763DC167">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48" w:name="_Toc31454"/>
      <w:bookmarkStart w:id="149" w:name="_Toc2039"/>
      <w:bookmarkStart w:id="150" w:name="_Toc28798"/>
      <w:bookmarkStart w:id="151" w:name="_Toc49"/>
      <w:r>
        <w:rPr>
          <w:rFonts w:hint="eastAsia" w:ascii="宋体" w:hAnsi="宋体" w:eastAsia="宋体" w:cs="宋体"/>
          <w:b/>
          <w:color w:val="auto"/>
          <w:sz w:val="24"/>
          <w:szCs w:val="24"/>
          <w:highlight w:val="none"/>
        </w:rPr>
        <w:t>四、知识产权</w:t>
      </w:r>
      <w:bookmarkEnd w:id="147"/>
      <w:bookmarkEnd w:id="148"/>
      <w:bookmarkEnd w:id="149"/>
      <w:bookmarkEnd w:id="150"/>
      <w:bookmarkEnd w:id="151"/>
    </w:p>
    <w:p w14:paraId="5622A5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采购人在中华人民共和国境内使用投标人提供的货物及服务时，免受第三方提出的侵犯其专利权或其他知识产权的起诉。如果第三方提出侵权指控，中标人应承担由此引起的全部法律责任和费用，其中法律责任包括民事责任（如停止侵权、赔偿损失、消除影响等）、行政责任（如责令停止侵权、罚款等）、刑事责任（若侵权行为构成犯罪时需承担的刑事制裁）；费用包括权利方因侵权行为所遭受的直接经济损失（如侵权产品或服务的销售额、利润损失等）和合理费用（如调查费、律师费、诉讼费等）。</w:t>
      </w:r>
    </w:p>
    <w:p w14:paraId="14F2DC53">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52" w:name="_Toc20540"/>
      <w:bookmarkStart w:id="153" w:name="_Toc400705633"/>
      <w:bookmarkStart w:id="154" w:name="_Toc15235"/>
      <w:bookmarkStart w:id="155" w:name="_Toc27220"/>
      <w:bookmarkStart w:id="156" w:name="_Toc20128"/>
      <w:bookmarkStart w:id="157" w:name="_Toc436143959"/>
      <w:r>
        <w:rPr>
          <w:rFonts w:hint="eastAsia" w:ascii="宋体" w:hAnsi="宋体" w:eastAsia="宋体" w:cs="宋体"/>
          <w:b/>
          <w:color w:val="auto"/>
          <w:sz w:val="24"/>
          <w:szCs w:val="24"/>
          <w:highlight w:val="none"/>
        </w:rPr>
        <w:t>五、其他</w:t>
      </w:r>
      <w:bookmarkEnd w:id="152"/>
      <w:bookmarkEnd w:id="153"/>
      <w:bookmarkEnd w:id="154"/>
      <w:bookmarkEnd w:id="155"/>
      <w:bookmarkEnd w:id="156"/>
      <w:bookmarkEnd w:id="157"/>
    </w:p>
    <w:p w14:paraId="4DB1DC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w:t>
      </w:r>
      <w:r>
        <w:rPr>
          <w:rFonts w:hint="eastAsia" w:ascii="宋体" w:hAnsi="宋体" w:cs="宋体"/>
          <w:color w:val="auto"/>
          <w:sz w:val="24"/>
          <w:szCs w:val="24"/>
          <w:highlight w:val="none"/>
          <w:lang w:eastAsia="zh-CN"/>
        </w:rPr>
        <w:t>供应商须在投标文件中明确列出以上条款及服务承诺，承诺内容须符合本篇及招标文件其他条款的要求。</w:t>
      </w:r>
    </w:p>
    <w:p w14:paraId="2FC92E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（二）其他未尽事宜由供需双方在采购合同中详细约定。</w:t>
      </w:r>
    </w:p>
    <w:p w14:paraId="06E00E87">
      <w:pPr>
        <w:jc w:val="center"/>
        <w:rPr>
          <w:rFonts w:hint="eastAsia" w:ascii="宋体" w:hAnsi="宋体" w:eastAsia="宋体" w:cs="宋体"/>
          <w:color w:val="auto"/>
          <w:highlight w:val="none"/>
          <w:lang w:val="en-US" w:eastAsia="zh-CN"/>
        </w:rPr>
      </w:pPr>
    </w:p>
    <w:p w14:paraId="71B98614">
      <w:pPr>
        <w:ind w:firstLine="56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bookmarkStart w:id="158" w:name="_Toc32693"/>
    </w:p>
    <w:p w14:paraId="13DDECD3">
      <w:pPr>
        <w:pStyle w:val="2"/>
        <w:keepNext/>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宋体" w:hAnsi="宋体" w:eastAsia="宋体" w:cs="宋体"/>
          <w:b/>
          <w:bCs/>
          <w:color w:val="auto"/>
          <w:highlight w:val="none"/>
          <w:lang w:eastAsia="zh-CN"/>
        </w:rPr>
      </w:pPr>
      <w:bookmarkStart w:id="159" w:name="_Toc4385"/>
      <w:bookmarkStart w:id="160" w:name="_Toc13394"/>
      <w:bookmarkStart w:id="161" w:name="_Toc21166"/>
      <w:r>
        <w:rPr>
          <w:rFonts w:hint="eastAsia" w:ascii="宋体" w:hAnsi="宋体" w:eastAsia="宋体" w:cs="宋体"/>
          <w:b/>
          <w:bCs/>
          <w:color w:val="auto"/>
          <w:highlight w:val="none"/>
          <w:lang w:val="en-US" w:eastAsia="zh-CN"/>
        </w:rPr>
        <w:t xml:space="preserve">第四篇  </w:t>
      </w:r>
      <w:r>
        <w:rPr>
          <w:rFonts w:hint="eastAsia" w:cs="宋体"/>
          <w:b/>
          <w:bCs/>
          <w:color w:val="auto"/>
          <w:highlight w:val="none"/>
          <w:lang w:val="en-US" w:eastAsia="zh-CN"/>
        </w:rPr>
        <w:t>磋商</w:t>
      </w:r>
      <w:r>
        <w:rPr>
          <w:rFonts w:hint="eastAsia" w:ascii="宋体" w:hAnsi="宋体" w:eastAsia="宋体" w:cs="宋体"/>
          <w:b/>
          <w:bCs/>
          <w:color w:val="auto"/>
          <w:highlight w:val="none"/>
          <w:lang w:val="en-US" w:eastAsia="zh-CN"/>
        </w:rPr>
        <w:t>程序及方法、评审标准、无效响应和采购终止</w:t>
      </w:r>
      <w:bookmarkEnd w:id="158"/>
      <w:bookmarkEnd w:id="159"/>
      <w:bookmarkEnd w:id="160"/>
      <w:bookmarkEnd w:id="161"/>
    </w:p>
    <w:p w14:paraId="5D625DA7">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162" w:name="_Toc4573"/>
      <w:bookmarkStart w:id="163" w:name="_Toc14468"/>
      <w:bookmarkStart w:id="164" w:name="_Toc899"/>
      <w:bookmarkStart w:id="165" w:name="_Toc18171"/>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lang w:eastAsia="zh-CN"/>
        </w:rPr>
        <w:t>磋商</w:t>
      </w:r>
      <w:r>
        <w:rPr>
          <w:rFonts w:hint="eastAsia" w:ascii="宋体" w:hAnsi="宋体" w:eastAsia="宋体" w:cs="宋体"/>
          <w:b/>
          <w:color w:val="auto"/>
          <w:sz w:val="24"/>
          <w:szCs w:val="24"/>
          <w:highlight w:val="none"/>
        </w:rPr>
        <w:t>程序及方法</w:t>
      </w:r>
      <w:bookmarkEnd w:id="162"/>
      <w:bookmarkEnd w:id="163"/>
      <w:bookmarkEnd w:id="164"/>
      <w:bookmarkEnd w:id="165"/>
    </w:p>
    <w:p w14:paraId="2AEA7B6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本次磋商严格按照竞争性磋商文件约定</w:t>
      </w:r>
      <w:r>
        <w:rPr>
          <w:rFonts w:hint="eastAsia" w:ascii="宋体" w:hAnsi="宋体" w:eastAsia="宋体" w:cs="宋体"/>
          <w:color w:val="auto"/>
          <w:sz w:val="24"/>
          <w:szCs w:val="24"/>
          <w:highlight w:val="none"/>
        </w:rPr>
        <w:t>时间和地点进行，供应商须有法定代表人（或其授权代表）或自然人参加并签到。竞争性磋商以抽签的形式确定磋商顺序，由本项目依法组建的竞争性磋商小组（以下简称磋商小组）分别与各供应商进行磋商。</w:t>
      </w:r>
    </w:p>
    <w:p w14:paraId="0D85270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（二）磋商小组对各供应商的资格条件、响应文件的有效性、完整性和响应程度进行审查。各供应商只有在完全符合要求的前提下，才能参与正式磋商。</w:t>
      </w:r>
    </w:p>
    <w:p w14:paraId="2E235371">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1.资格性审查。依据法律法规和竞争性磋商文件的规定，对响应文件中的资格证明</w:t>
      </w:r>
      <w:r>
        <w:rPr>
          <w:rFonts w:hint="eastAsia" w:ascii="宋体" w:hAnsi="宋体" w:cs="宋体"/>
          <w:color w:val="auto"/>
          <w:sz w:val="24"/>
          <w:szCs w:val="24"/>
          <w:highlight w:val="none"/>
          <w:lang w:eastAsia="zh-CN"/>
        </w:rPr>
        <w:t>等</w:t>
      </w:r>
      <w:r>
        <w:rPr>
          <w:rFonts w:hint="eastAsia" w:ascii="宋体" w:hAnsi="宋体" w:eastAsia="宋体" w:cs="宋体"/>
          <w:color w:val="auto"/>
          <w:sz w:val="24"/>
          <w:szCs w:val="24"/>
          <w:highlight w:val="none"/>
        </w:rPr>
        <w:t>进行审查，以确定供应商是否具备磋商资格。资格性审查资料表如下：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0073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59B655E">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C77212D">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446ED1B3">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检查内容</w:t>
            </w:r>
          </w:p>
        </w:tc>
      </w:tr>
      <w:tr w14:paraId="0AEB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589FCB9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709" w:type="dxa"/>
            <w:vMerge w:val="restart"/>
            <w:noWrap w:val="0"/>
            <w:vAlign w:val="center"/>
          </w:tcPr>
          <w:p w14:paraId="6A71F2E3">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《中华人民共和国政府采购法》第二十二条规定</w:t>
            </w:r>
          </w:p>
        </w:tc>
        <w:tc>
          <w:tcPr>
            <w:tcW w:w="3118" w:type="dxa"/>
            <w:noWrap w:val="0"/>
            <w:vAlign w:val="center"/>
          </w:tcPr>
          <w:p w14:paraId="472D2FB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tc>
        <w:tc>
          <w:tcPr>
            <w:tcW w:w="4984" w:type="dxa"/>
            <w:noWrap w:val="0"/>
            <w:vAlign w:val="center"/>
          </w:tcPr>
          <w:p w14:paraId="31EF2A2F">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1.供应商法人营业执照（副本）或事业单位法人证书（副本）或个体工商户营业执照或有效的自然人身份证明或社会团体法人登记证书（提供复印件）。</w:t>
            </w:r>
          </w:p>
          <w:p w14:paraId="28FF8434">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2.供应商法定代表人身份证明和法定代表人授权代表委托书。</w:t>
            </w:r>
          </w:p>
        </w:tc>
      </w:tr>
      <w:tr w14:paraId="5800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65E98807">
            <w:pPr>
              <w:jc w:val="center"/>
              <w:rPr>
                <w:rFonts w:hint="eastAsia" w:ascii="宋体" w:hAnsi="宋体" w:eastAsia="宋体" w:cs="宋体"/>
                <w:color w:val="auto"/>
                <w:sz w:val="21"/>
                <w:szCs w:val="21"/>
                <w:highlight w:val="none"/>
              </w:rPr>
            </w:pPr>
          </w:p>
        </w:tc>
        <w:tc>
          <w:tcPr>
            <w:tcW w:w="709" w:type="dxa"/>
            <w:vMerge w:val="continue"/>
            <w:noWrap w:val="0"/>
            <w:vAlign w:val="center"/>
          </w:tcPr>
          <w:p w14:paraId="60AF63E6">
            <w:pPr>
              <w:rPr>
                <w:rFonts w:hint="eastAsia" w:ascii="宋体" w:hAnsi="宋体" w:eastAsia="宋体" w:cs="宋体"/>
                <w:color w:val="auto"/>
                <w:sz w:val="21"/>
                <w:szCs w:val="21"/>
                <w:highlight w:val="none"/>
                <w:lang w:val="zh-CN"/>
              </w:rPr>
            </w:pPr>
          </w:p>
        </w:tc>
        <w:tc>
          <w:tcPr>
            <w:tcW w:w="3118" w:type="dxa"/>
            <w:noWrap w:val="0"/>
            <w:vAlign w:val="center"/>
          </w:tcPr>
          <w:p w14:paraId="305F25E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4984" w:type="dxa"/>
            <w:vMerge w:val="restart"/>
            <w:noWrap w:val="0"/>
            <w:vAlign w:val="center"/>
          </w:tcPr>
          <w:p w14:paraId="5E81D148">
            <w:pP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供应商提供“基本资格条件承诺函”（格式详见第七篇）</w:t>
            </w:r>
          </w:p>
        </w:tc>
      </w:tr>
      <w:tr w14:paraId="6A45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BD3A628">
            <w:pPr>
              <w:jc w:val="center"/>
              <w:rPr>
                <w:rFonts w:hint="eastAsia" w:ascii="宋体" w:hAnsi="宋体" w:eastAsia="宋体" w:cs="宋体"/>
                <w:color w:val="auto"/>
                <w:sz w:val="21"/>
                <w:szCs w:val="21"/>
                <w:highlight w:val="none"/>
              </w:rPr>
            </w:pPr>
          </w:p>
        </w:tc>
        <w:tc>
          <w:tcPr>
            <w:tcW w:w="709" w:type="dxa"/>
            <w:vMerge w:val="continue"/>
            <w:noWrap w:val="0"/>
            <w:vAlign w:val="center"/>
          </w:tcPr>
          <w:p w14:paraId="2C239936">
            <w:pPr>
              <w:rPr>
                <w:rFonts w:hint="eastAsia" w:ascii="宋体" w:hAnsi="宋体" w:eastAsia="宋体" w:cs="宋体"/>
                <w:color w:val="auto"/>
                <w:sz w:val="21"/>
                <w:szCs w:val="21"/>
                <w:highlight w:val="none"/>
                <w:lang w:val="zh-CN"/>
              </w:rPr>
            </w:pPr>
          </w:p>
        </w:tc>
        <w:tc>
          <w:tcPr>
            <w:tcW w:w="3118" w:type="dxa"/>
            <w:noWrap w:val="0"/>
            <w:vAlign w:val="center"/>
          </w:tcPr>
          <w:p w14:paraId="5AEE774D">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4984" w:type="dxa"/>
            <w:vMerge w:val="continue"/>
            <w:noWrap w:val="0"/>
            <w:vAlign w:val="center"/>
          </w:tcPr>
          <w:p w14:paraId="6F037124">
            <w:pPr>
              <w:rPr>
                <w:rFonts w:hint="eastAsia" w:ascii="宋体" w:hAnsi="宋体" w:eastAsia="宋体" w:cs="宋体"/>
                <w:color w:val="auto"/>
                <w:sz w:val="21"/>
                <w:szCs w:val="21"/>
                <w:highlight w:val="none"/>
              </w:rPr>
            </w:pPr>
          </w:p>
        </w:tc>
      </w:tr>
      <w:tr w14:paraId="3B7A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23D0737">
            <w:pPr>
              <w:jc w:val="center"/>
              <w:rPr>
                <w:rFonts w:hint="eastAsia" w:ascii="宋体" w:hAnsi="宋体" w:eastAsia="宋体" w:cs="宋体"/>
                <w:color w:val="auto"/>
                <w:sz w:val="21"/>
                <w:szCs w:val="21"/>
                <w:highlight w:val="none"/>
              </w:rPr>
            </w:pPr>
          </w:p>
        </w:tc>
        <w:tc>
          <w:tcPr>
            <w:tcW w:w="709" w:type="dxa"/>
            <w:vMerge w:val="continue"/>
            <w:noWrap w:val="0"/>
            <w:vAlign w:val="center"/>
          </w:tcPr>
          <w:p w14:paraId="18BF5EA9">
            <w:pPr>
              <w:rPr>
                <w:rFonts w:hint="eastAsia" w:ascii="宋体" w:hAnsi="宋体" w:eastAsia="宋体" w:cs="宋体"/>
                <w:color w:val="auto"/>
                <w:sz w:val="21"/>
                <w:szCs w:val="21"/>
                <w:highlight w:val="none"/>
                <w:lang w:val="zh-CN"/>
              </w:rPr>
            </w:pPr>
          </w:p>
        </w:tc>
        <w:tc>
          <w:tcPr>
            <w:tcW w:w="3118" w:type="dxa"/>
            <w:noWrap w:val="0"/>
            <w:vAlign w:val="center"/>
          </w:tcPr>
          <w:p w14:paraId="19A19318">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4984" w:type="dxa"/>
            <w:vMerge w:val="continue"/>
            <w:noWrap w:val="0"/>
            <w:vAlign w:val="center"/>
          </w:tcPr>
          <w:p w14:paraId="7E9B981F">
            <w:pPr>
              <w:rPr>
                <w:rFonts w:hint="eastAsia" w:ascii="宋体" w:hAnsi="宋体" w:eastAsia="宋体" w:cs="宋体"/>
                <w:color w:val="auto"/>
                <w:sz w:val="21"/>
                <w:szCs w:val="21"/>
                <w:highlight w:val="none"/>
              </w:rPr>
            </w:pPr>
          </w:p>
        </w:tc>
      </w:tr>
      <w:tr w14:paraId="148F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08A5FEA8">
            <w:pPr>
              <w:jc w:val="center"/>
              <w:rPr>
                <w:rFonts w:hint="eastAsia" w:ascii="宋体" w:hAnsi="宋体" w:eastAsia="宋体" w:cs="宋体"/>
                <w:color w:val="auto"/>
                <w:sz w:val="21"/>
                <w:szCs w:val="21"/>
                <w:highlight w:val="none"/>
              </w:rPr>
            </w:pPr>
          </w:p>
        </w:tc>
        <w:tc>
          <w:tcPr>
            <w:tcW w:w="709" w:type="dxa"/>
            <w:vMerge w:val="continue"/>
            <w:noWrap w:val="0"/>
            <w:vAlign w:val="center"/>
          </w:tcPr>
          <w:p w14:paraId="300C38A9">
            <w:pPr>
              <w:rPr>
                <w:rFonts w:hint="eastAsia" w:ascii="宋体" w:hAnsi="宋体" w:eastAsia="宋体" w:cs="宋体"/>
                <w:color w:val="auto"/>
                <w:sz w:val="21"/>
                <w:szCs w:val="21"/>
                <w:highlight w:val="none"/>
                <w:lang w:val="zh-CN"/>
              </w:rPr>
            </w:pPr>
          </w:p>
        </w:tc>
        <w:tc>
          <w:tcPr>
            <w:tcW w:w="3118" w:type="dxa"/>
            <w:noWrap w:val="0"/>
            <w:vAlign w:val="center"/>
          </w:tcPr>
          <w:p w14:paraId="1F564E35">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5.参加政府采购活动前三年内，在经营活动中没有重大违法记录</w:t>
            </w:r>
          </w:p>
        </w:tc>
        <w:tc>
          <w:tcPr>
            <w:tcW w:w="4984" w:type="dxa"/>
            <w:vMerge w:val="continue"/>
            <w:noWrap w:val="0"/>
            <w:vAlign w:val="center"/>
          </w:tcPr>
          <w:p w14:paraId="48676611">
            <w:pPr>
              <w:rPr>
                <w:rFonts w:hint="eastAsia" w:ascii="宋体" w:hAnsi="宋体" w:eastAsia="宋体" w:cs="宋体"/>
                <w:b/>
                <w:color w:val="auto"/>
                <w:sz w:val="21"/>
                <w:szCs w:val="21"/>
                <w:highlight w:val="none"/>
              </w:rPr>
            </w:pPr>
          </w:p>
        </w:tc>
      </w:tr>
      <w:tr w14:paraId="0D99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6A2B577A">
            <w:pPr>
              <w:jc w:val="center"/>
              <w:rPr>
                <w:rFonts w:hint="eastAsia" w:ascii="宋体" w:hAnsi="宋体" w:eastAsia="宋体" w:cs="宋体"/>
                <w:color w:val="auto"/>
                <w:sz w:val="21"/>
                <w:szCs w:val="21"/>
                <w:highlight w:val="none"/>
              </w:rPr>
            </w:pPr>
          </w:p>
        </w:tc>
        <w:tc>
          <w:tcPr>
            <w:tcW w:w="709" w:type="dxa"/>
            <w:vMerge w:val="continue"/>
            <w:noWrap w:val="0"/>
            <w:vAlign w:val="center"/>
          </w:tcPr>
          <w:p w14:paraId="2BB5B3C1">
            <w:pPr>
              <w:rPr>
                <w:rFonts w:hint="eastAsia" w:ascii="宋体" w:hAnsi="宋体" w:eastAsia="宋体" w:cs="宋体"/>
                <w:color w:val="auto"/>
                <w:sz w:val="21"/>
                <w:szCs w:val="21"/>
                <w:highlight w:val="none"/>
              </w:rPr>
            </w:pPr>
          </w:p>
        </w:tc>
        <w:tc>
          <w:tcPr>
            <w:tcW w:w="3118" w:type="dxa"/>
            <w:noWrap w:val="0"/>
            <w:vAlign w:val="center"/>
          </w:tcPr>
          <w:p w14:paraId="16E572B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4984" w:type="dxa"/>
            <w:noWrap w:val="0"/>
            <w:vAlign w:val="center"/>
          </w:tcPr>
          <w:p w14:paraId="121FCFBF">
            <w:pPr>
              <w:rPr>
                <w:rFonts w:hint="eastAsia" w:ascii="宋体" w:hAnsi="宋体" w:eastAsia="宋体" w:cs="宋体"/>
                <w:color w:val="auto"/>
                <w:sz w:val="21"/>
                <w:szCs w:val="21"/>
                <w:highlight w:val="none"/>
              </w:rPr>
            </w:pPr>
          </w:p>
        </w:tc>
      </w:tr>
      <w:tr w14:paraId="71B1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1A6B435">
            <w:pPr>
              <w:jc w:val="center"/>
              <w:rPr>
                <w:rFonts w:hint="eastAsia" w:ascii="宋体" w:hAnsi="宋体" w:eastAsia="宋体" w:cs="宋体"/>
                <w:color w:val="auto"/>
                <w:sz w:val="21"/>
                <w:szCs w:val="21"/>
                <w:highlight w:val="none"/>
              </w:rPr>
            </w:pPr>
          </w:p>
        </w:tc>
        <w:tc>
          <w:tcPr>
            <w:tcW w:w="709" w:type="dxa"/>
            <w:vMerge w:val="continue"/>
            <w:noWrap w:val="0"/>
            <w:vAlign w:val="center"/>
          </w:tcPr>
          <w:p w14:paraId="45186E08">
            <w:pPr>
              <w:rPr>
                <w:rFonts w:hint="eastAsia" w:ascii="宋体" w:hAnsi="宋体" w:eastAsia="宋体" w:cs="宋体"/>
                <w:color w:val="auto"/>
                <w:sz w:val="21"/>
                <w:szCs w:val="21"/>
                <w:highlight w:val="none"/>
              </w:rPr>
            </w:pPr>
          </w:p>
        </w:tc>
        <w:tc>
          <w:tcPr>
            <w:tcW w:w="3118" w:type="dxa"/>
            <w:noWrap w:val="0"/>
            <w:vAlign w:val="center"/>
          </w:tcPr>
          <w:p w14:paraId="6142FCF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7.本项目的特定资格要求</w:t>
            </w:r>
          </w:p>
        </w:tc>
        <w:tc>
          <w:tcPr>
            <w:tcW w:w="4984" w:type="dxa"/>
            <w:noWrap w:val="0"/>
            <w:vAlign w:val="center"/>
          </w:tcPr>
          <w:p w14:paraId="3EF678F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按“第一篇三、供应商资格要求（三）本项目的特定资格要求”的要求提交（如果有）。</w:t>
            </w:r>
          </w:p>
        </w:tc>
      </w:tr>
    </w:tbl>
    <w:p w14:paraId="368641C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2.符合性审查。依据竞争性磋商文件的规定，从响应文件的有效性、完整性和对竞争性磋商文件的响应程度</w:t>
      </w:r>
      <w:r>
        <w:rPr>
          <w:rFonts w:hint="eastAsia" w:ascii="宋体" w:hAnsi="宋体" w:eastAsia="宋体" w:cs="宋体"/>
          <w:color w:val="auto"/>
          <w:kern w:val="0"/>
          <w:sz w:val="24"/>
          <w:szCs w:val="24"/>
          <w:highlight w:val="none"/>
          <w:lang w:eastAsia="zh-CN"/>
        </w:rPr>
        <w:t>等方面进行</w:t>
      </w:r>
      <w:r>
        <w:rPr>
          <w:rFonts w:hint="eastAsia" w:ascii="宋体" w:hAnsi="宋体" w:eastAsia="宋体" w:cs="宋体"/>
          <w:color w:val="auto"/>
          <w:kern w:val="0"/>
          <w:sz w:val="24"/>
          <w:szCs w:val="24"/>
          <w:highlight w:val="none"/>
        </w:rPr>
        <w:t>审查，以确定是否对竞争性磋商文件的实质性要求作出响应。符合性审查资料表如下：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6226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445A45CE">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544" w:type="dxa"/>
            <w:gridSpan w:val="2"/>
            <w:noWrap w:val="0"/>
            <w:vAlign w:val="center"/>
          </w:tcPr>
          <w:p w14:paraId="4031DF08">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5409" w:type="dxa"/>
            <w:noWrap w:val="0"/>
            <w:vAlign w:val="center"/>
          </w:tcPr>
          <w:p w14:paraId="6D94096A">
            <w:pP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评审标准</w:t>
            </w:r>
          </w:p>
        </w:tc>
      </w:tr>
      <w:tr w14:paraId="5118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3DCC696F">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60" w:type="dxa"/>
            <w:vMerge w:val="restart"/>
            <w:noWrap w:val="0"/>
            <w:vAlign w:val="center"/>
          </w:tcPr>
          <w:p w14:paraId="3FF11193">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有效性审查</w:t>
            </w:r>
          </w:p>
        </w:tc>
        <w:tc>
          <w:tcPr>
            <w:tcW w:w="1984" w:type="dxa"/>
            <w:noWrap w:val="0"/>
            <w:vAlign w:val="center"/>
          </w:tcPr>
          <w:p w14:paraId="161EF2ED">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响应文件签署或盖章</w:t>
            </w:r>
          </w:p>
        </w:tc>
        <w:tc>
          <w:tcPr>
            <w:tcW w:w="5409" w:type="dxa"/>
            <w:noWrap w:val="0"/>
            <w:vAlign w:val="center"/>
          </w:tcPr>
          <w:p w14:paraId="61326F69">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按竞争性磋商文件“第七篇响应文件编制要求”要求签署或盖章。</w:t>
            </w:r>
          </w:p>
        </w:tc>
      </w:tr>
      <w:tr w14:paraId="751E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40A51BAA">
            <w:pPr>
              <w:jc w:val="center"/>
              <w:rPr>
                <w:rFonts w:hint="eastAsia" w:ascii="宋体" w:hAnsi="宋体" w:eastAsia="宋体" w:cs="宋体"/>
                <w:color w:val="auto"/>
                <w:kern w:val="0"/>
                <w:sz w:val="21"/>
                <w:szCs w:val="21"/>
                <w:highlight w:val="none"/>
              </w:rPr>
            </w:pPr>
          </w:p>
        </w:tc>
        <w:tc>
          <w:tcPr>
            <w:tcW w:w="1560" w:type="dxa"/>
            <w:vMerge w:val="continue"/>
            <w:noWrap w:val="0"/>
            <w:vAlign w:val="center"/>
          </w:tcPr>
          <w:p w14:paraId="38328255">
            <w:pPr>
              <w:rPr>
                <w:rFonts w:hint="eastAsia" w:ascii="宋体" w:hAnsi="宋体" w:eastAsia="宋体" w:cs="宋体"/>
                <w:color w:val="auto"/>
                <w:kern w:val="0"/>
                <w:sz w:val="21"/>
                <w:szCs w:val="21"/>
                <w:highlight w:val="none"/>
              </w:rPr>
            </w:pPr>
          </w:p>
        </w:tc>
        <w:tc>
          <w:tcPr>
            <w:tcW w:w="1984" w:type="dxa"/>
            <w:noWrap w:val="0"/>
            <w:vAlign w:val="center"/>
          </w:tcPr>
          <w:p w14:paraId="1F51AA4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法定代表人身份证明及授权委托书</w:t>
            </w:r>
          </w:p>
        </w:tc>
        <w:tc>
          <w:tcPr>
            <w:tcW w:w="5409" w:type="dxa"/>
            <w:noWrap w:val="0"/>
            <w:vAlign w:val="center"/>
          </w:tcPr>
          <w:p w14:paraId="5735653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法定代表人身份证明及授权委托书有效，符合竞争性磋商文件规定的格式，签署或盖章齐全。</w:t>
            </w:r>
          </w:p>
        </w:tc>
      </w:tr>
      <w:tr w14:paraId="43EC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4EDE22B">
            <w:pPr>
              <w:jc w:val="center"/>
              <w:rPr>
                <w:rFonts w:hint="eastAsia" w:ascii="宋体" w:hAnsi="宋体" w:eastAsia="宋体" w:cs="宋体"/>
                <w:color w:val="auto"/>
                <w:kern w:val="0"/>
                <w:sz w:val="21"/>
                <w:szCs w:val="21"/>
                <w:highlight w:val="none"/>
              </w:rPr>
            </w:pPr>
          </w:p>
        </w:tc>
        <w:tc>
          <w:tcPr>
            <w:tcW w:w="1560" w:type="dxa"/>
            <w:vMerge w:val="continue"/>
            <w:noWrap w:val="0"/>
            <w:vAlign w:val="center"/>
          </w:tcPr>
          <w:p w14:paraId="49CC3613">
            <w:pPr>
              <w:rPr>
                <w:rFonts w:hint="eastAsia" w:ascii="宋体" w:hAnsi="宋体" w:eastAsia="宋体" w:cs="宋体"/>
                <w:color w:val="auto"/>
                <w:kern w:val="0"/>
                <w:sz w:val="21"/>
                <w:szCs w:val="21"/>
                <w:highlight w:val="none"/>
              </w:rPr>
            </w:pPr>
          </w:p>
        </w:tc>
        <w:tc>
          <w:tcPr>
            <w:tcW w:w="1984" w:type="dxa"/>
            <w:noWrap w:val="0"/>
            <w:vAlign w:val="center"/>
          </w:tcPr>
          <w:p w14:paraId="571C2640">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方案</w:t>
            </w:r>
          </w:p>
        </w:tc>
        <w:tc>
          <w:tcPr>
            <w:tcW w:w="5409" w:type="dxa"/>
            <w:noWrap w:val="0"/>
            <w:vAlign w:val="center"/>
          </w:tcPr>
          <w:p w14:paraId="142C9450">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每个包只能有一个</w:t>
            </w: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方案。</w:t>
            </w:r>
          </w:p>
        </w:tc>
      </w:tr>
      <w:tr w14:paraId="3447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518E0A21">
            <w:pPr>
              <w:jc w:val="center"/>
              <w:rPr>
                <w:rFonts w:hint="eastAsia" w:ascii="宋体" w:hAnsi="宋体" w:eastAsia="宋体" w:cs="宋体"/>
                <w:color w:val="auto"/>
                <w:kern w:val="0"/>
                <w:sz w:val="21"/>
                <w:szCs w:val="21"/>
                <w:highlight w:val="none"/>
              </w:rPr>
            </w:pPr>
          </w:p>
        </w:tc>
        <w:tc>
          <w:tcPr>
            <w:tcW w:w="1560" w:type="dxa"/>
            <w:vMerge w:val="continue"/>
            <w:noWrap w:val="0"/>
            <w:vAlign w:val="center"/>
          </w:tcPr>
          <w:p w14:paraId="095652D3">
            <w:pPr>
              <w:rPr>
                <w:rFonts w:hint="eastAsia" w:ascii="宋体" w:hAnsi="宋体" w:eastAsia="宋体" w:cs="宋体"/>
                <w:color w:val="auto"/>
                <w:kern w:val="0"/>
                <w:sz w:val="21"/>
                <w:szCs w:val="21"/>
                <w:highlight w:val="none"/>
              </w:rPr>
            </w:pPr>
          </w:p>
        </w:tc>
        <w:tc>
          <w:tcPr>
            <w:tcW w:w="1984" w:type="dxa"/>
            <w:noWrap w:val="0"/>
            <w:vAlign w:val="center"/>
          </w:tcPr>
          <w:p w14:paraId="2C11096D">
            <w:pP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noWrap w:val="0"/>
            <w:vAlign w:val="center"/>
          </w:tcPr>
          <w:p w14:paraId="1521E7EC">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只能有一个有效报价，不得提交选择性报价。</w:t>
            </w:r>
          </w:p>
        </w:tc>
      </w:tr>
      <w:tr w14:paraId="7E95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1E341B2E">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560" w:type="dxa"/>
            <w:noWrap w:val="0"/>
            <w:vAlign w:val="center"/>
          </w:tcPr>
          <w:p w14:paraId="38B8DBEC">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完整性审查</w:t>
            </w:r>
          </w:p>
        </w:tc>
        <w:tc>
          <w:tcPr>
            <w:tcW w:w="1984" w:type="dxa"/>
            <w:noWrap w:val="0"/>
            <w:vAlign w:val="center"/>
          </w:tcPr>
          <w:p w14:paraId="1C852544">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文件份数</w:t>
            </w:r>
          </w:p>
        </w:tc>
        <w:tc>
          <w:tcPr>
            <w:tcW w:w="5409" w:type="dxa"/>
            <w:noWrap w:val="0"/>
            <w:vAlign w:val="center"/>
          </w:tcPr>
          <w:p w14:paraId="660C1C5D">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w:t>
            </w:r>
            <w:r>
              <w:rPr>
                <w:rFonts w:hint="eastAsia" w:ascii="宋体" w:hAnsi="宋体" w:eastAsia="宋体" w:cs="宋体"/>
                <w:color w:val="auto"/>
                <w:sz w:val="21"/>
                <w:szCs w:val="21"/>
                <w:highlight w:val="none"/>
                <w:lang w:val="zh-CN"/>
              </w:rPr>
              <w:t>文件数量（含电子文档）符合</w:t>
            </w:r>
            <w:r>
              <w:rPr>
                <w:rFonts w:hint="eastAsia" w:ascii="宋体" w:hAnsi="宋体" w:eastAsia="宋体" w:cs="宋体"/>
                <w:color w:val="auto"/>
                <w:sz w:val="21"/>
                <w:szCs w:val="21"/>
                <w:highlight w:val="none"/>
              </w:rPr>
              <w:t>竞争性磋商</w:t>
            </w:r>
            <w:r>
              <w:rPr>
                <w:rFonts w:hint="eastAsia" w:ascii="宋体" w:hAnsi="宋体" w:eastAsia="宋体" w:cs="宋体"/>
                <w:color w:val="auto"/>
                <w:sz w:val="21"/>
                <w:szCs w:val="21"/>
                <w:highlight w:val="none"/>
                <w:lang w:val="zh-CN"/>
              </w:rPr>
              <w:t>文件要求。</w:t>
            </w:r>
          </w:p>
        </w:tc>
      </w:tr>
      <w:tr w14:paraId="733A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3916493E">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560" w:type="dxa"/>
            <w:vMerge w:val="restart"/>
            <w:noWrap w:val="0"/>
            <w:vAlign w:val="center"/>
          </w:tcPr>
          <w:p w14:paraId="57E94110">
            <w:pPr>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rPr>
              <w:t>响应程度审查</w:t>
            </w:r>
          </w:p>
        </w:tc>
        <w:tc>
          <w:tcPr>
            <w:tcW w:w="1984" w:type="dxa"/>
            <w:noWrap w:val="0"/>
            <w:vAlign w:val="center"/>
          </w:tcPr>
          <w:p w14:paraId="73B8FDB3">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实质性响应</w:t>
            </w:r>
          </w:p>
        </w:tc>
        <w:tc>
          <w:tcPr>
            <w:tcW w:w="5409" w:type="dxa"/>
            <w:noWrap w:val="0"/>
            <w:vAlign w:val="center"/>
          </w:tcPr>
          <w:p w14:paraId="0B1BEEDB">
            <w:pPr>
              <w:pStyle w:val="3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竞争性磋商文件第二篇、第三篇“</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1"/>
                <w:szCs w:val="21"/>
                <w:highlight w:val="none"/>
              </w:rPr>
              <w:t>”标注部分。</w:t>
            </w:r>
          </w:p>
        </w:tc>
      </w:tr>
      <w:tr w14:paraId="4E5B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02FE9749">
            <w:pPr>
              <w:jc w:val="center"/>
              <w:rPr>
                <w:rFonts w:hint="eastAsia" w:ascii="宋体" w:hAnsi="宋体" w:eastAsia="宋体" w:cs="宋体"/>
                <w:color w:val="auto"/>
                <w:kern w:val="0"/>
                <w:sz w:val="21"/>
                <w:szCs w:val="21"/>
                <w:highlight w:val="none"/>
              </w:rPr>
            </w:pPr>
          </w:p>
        </w:tc>
        <w:tc>
          <w:tcPr>
            <w:tcW w:w="1560" w:type="dxa"/>
            <w:vMerge w:val="continue"/>
            <w:noWrap w:val="0"/>
            <w:vAlign w:val="center"/>
          </w:tcPr>
          <w:p w14:paraId="4E6560F3">
            <w:pPr>
              <w:rPr>
                <w:rFonts w:hint="eastAsia" w:ascii="宋体" w:hAnsi="宋体" w:eastAsia="宋体" w:cs="宋体"/>
                <w:color w:val="auto"/>
                <w:sz w:val="21"/>
                <w:szCs w:val="21"/>
                <w:highlight w:val="none"/>
                <w:lang w:val="zh-CN"/>
              </w:rPr>
            </w:pPr>
          </w:p>
        </w:tc>
        <w:tc>
          <w:tcPr>
            <w:tcW w:w="1984" w:type="dxa"/>
            <w:noWrap w:val="0"/>
            <w:vAlign w:val="center"/>
          </w:tcPr>
          <w:p w14:paraId="3FC96C0A">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磋商有效期</w:t>
            </w:r>
          </w:p>
        </w:tc>
        <w:tc>
          <w:tcPr>
            <w:tcW w:w="5409" w:type="dxa"/>
            <w:noWrap w:val="0"/>
            <w:vAlign w:val="center"/>
          </w:tcPr>
          <w:p w14:paraId="4EA86A13">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响应文件及有关承诺文件有效期为提交响应文件截止时间起90天。</w:t>
            </w:r>
          </w:p>
        </w:tc>
      </w:tr>
    </w:tbl>
    <w:p w14:paraId="18EDBE89">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1EB94505">
      <w:pPr>
        <w:spacing w:line="400" w:lineRule="exact"/>
        <w:ind w:firstLine="480" w:firstLineChars="200"/>
        <w:rPr>
          <w:rFonts w:hint="eastAsia" w:ascii="宋体" w:hAnsi="宋体" w:eastAsia="宋体" w:cs="宋体"/>
          <w:color w:val="auto"/>
          <w:sz w:val="24"/>
          <w:szCs w:val="24"/>
          <w:highlight w:val="none"/>
        </w:rPr>
      </w:pPr>
      <w:bookmarkStart w:id="166" w:name="_Toc25739"/>
      <w:bookmarkStart w:id="167" w:name="_Toc22094"/>
      <w:r>
        <w:rPr>
          <w:rFonts w:hint="eastAsia" w:ascii="宋体" w:hAnsi="宋体" w:eastAsia="宋体" w:cs="宋体"/>
          <w:color w:val="auto"/>
          <w:sz w:val="24"/>
          <w:szCs w:val="24"/>
          <w:highlight w:val="none"/>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331BA4D">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1F00D203">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（五）在磋商过程中磋商的任何一方不得向他人透露与磋商有关的服务资料、价格或其他信息。</w:t>
      </w:r>
    </w:p>
    <w:p w14:paraId="3063CE7D">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在磋商过程中，磋商小组可以根据竞争性磋商文件和磋商情况实质性变动采购需求中的服务、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29DB77B9">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（七）供应商在磋商时作出的所有书面承诺须由法定代表人（或其授权代表）或自然人（供应商为自然人）签署。</w:t>
      </w:r>
    </w:p>
    <w:p w14:paraId="355BE7E5">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（八）经磋商确定最终采购需求且磋商结束后，供应商应当按照竞争性磋商文件的变动情况和磋商小组的要求重新提交响应文件或重新做出相关的书面承诺。</w:t>
      </w:r>
    </w:p>
    <w:p w14:paraId="68E29F9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（九）磋商小组采用综合评分法对</w:t>
      </w:r>
      <w:r>
        <w:rPr>
          <w:rFonts w:hint="eastAsia" w:ascii="宋体" w:hAnsi="宋体" w:eastAsia="宋体" w:cs="宋体"/>
          <w:color w:val="auto"/>
          <w:sz w:val="24"/>
          <w:szCs w:val="24"/>
          <w:highlight w:val="none"/>
          <w:lang w:eastAsia="zh-CN"/>
        </w:rPr>
        <w:t>供应商提交</w:t>
      </w:r>
      <w:r>
        <w:rPr>
          <w:rFonts w:hint="eastAsia" w:ascii="宋体" w:hAnsi="宋体" w:eastAsia="宋体" w:cs="宋体"/>
          <w:color w:val="auto"/>
          <w:sz w:val="24"/>
          <w:szCs w:val="24"/>
          <w:highlight w:val="none"/>
        </w:rPr>
        <w:t>的响应文件和磋商报价（含有效书面承诺）进行综合评分。</w:t>
      </w:r>
      <w:r>
        <w:rPr>
          <w:rFonts w:hint="eastAsia" w:ascii="宋体" w:hAnsi="宋体" w:eastAsia="宋体" w:cs="宋体"/>
          <w:color w:val="auto"/>
          <w:kern w:val="0"/>
          <w:sz w:val="24"/>
          <w:szCs w:val="24"/>
          <w:highlight w:val="none"/>
        </w:rPr>
        <w:t>综合评分法，是指响应文件满足竞争性磋商文件全部实质性要求且按照评审因素的量化指标评审得分最高的供应商为成交候选供应商的评审方法。供应商总得分为价格、服务、商务等评定因素分别按照相应权重值计算分项得分后相加，满分为100分</w:t>
      </w:r>
      <w:r>
        <w:rPr>
          <w:rFonts w:hint="eastAsia" w:ascii="宋体" w:hAnsi="宋体" w:eastAsia="宋体" w:cs="宋体"/>
          <w:color w:val="auto"/>
          <w:sz w:val="24"/>
          <w:szCs w:val="24"/>
          <w:highlight w:val="none"/>
        </w:rPr>
        <w:t>。</w:t>
      </w:r>
    </w:p>
    <w:p w14:paraId="4C79B11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（十）磋商小组各成员独立对每个有效响应（通过资格性审查、</w:t>
      </w:r>
      <w:r>
        <w:rPr>
          <w:rFonts w:hint="eastAsia" w:ascii="宋体" w:hAnsi="宋体" w:eastAsia="宋体" w:cs="宋体"/>
          <w:color w:val="auto"/>
          <w:kern w:val="0"/>
          <w:sz w:val="24"/>
          <w:szCs w:val="24"/>
          <w:highlight w:val="none"/>
        </w:rPr>
        <w:t>符合性审查的供应商</w:t>
      </w:r>
      <w:r>
        <w:rPr>
          <w:rFonts w:hint="eastAsia" w:ascii="宋体" w:hAnsi="宋体" w:eastAsia="宋体" w:cs="宋体"/>
          <w:color w:val="auto"/>
          <w:sz w:val="24"/>
          <w:szCs w:val="24"/>
          <w:highlight w:val="none"/>
        </w:rPr>
        <w:t>）的文件进行评价、打分，然后汇总每个供应商每项评分因素的得分，并根据综合评分情况按照评审得分由高到低顺序推荐3名以上成交候选供应商，并编写评审报告。若供应商的评审得分</w:t>
      </w:r>
      <w:r>
        <w:rPr>
          <w:rFonts w:hint="eastAsia" w:ascii="宋体" w:hAnsi="宋体" w:eastAsia="宋体" w:cs="宋体"/>
          <w:color w:val="auto"/>
          <w:sz w:val="24"/>
          <w:szCs w:val="24"/>
          <w:highlight w:val="none"/>
          <w:lang w:eastAsia="zh-CN"/>
        </w:rPr>
        <w:t>相同</w:t>
      </w:r>
      <w:r>
        <w:rPr>
          <w:rFonts w:hint="eastAsia" w:ascii="宋体" w:hAnsi="宋体" w:eastAsia="宋体" w:cs="宋体"/>
          <w:color w:val="auto"/>
          <w:sz w:val="24"/>
          <w:szCs w:val="24"/>
          <w:highlight w:val="none"/>
        </w:rPr>
        <w:t>，按照磋商报价由低到高的顺序排列推荐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评审得分</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磋商报价相同的，按照服务指标优劣顺序排列推荐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以上都相同的，按商务条款的优劣顺序排列推荐。</w:t>
      </w:r>
    </w:p>
    <w:p w14:paraId="793B525F">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68" w:name="_Toc31556"/>
      <w:bookmarkStart w:id="169" w:name="_Toc9434"/>
      <w:r>
        <w:rPr>
          <w:rFonts w:hint="eastAsia" w:ascii="宋体" w:hAnsi="宋体" w:eastAsia="宋体" w:cs="宋体"/>
          <w:b/>
          <w:color w:val="auto"/>
          <w:sz w:val="24"/>
          <w:szCs w:val="24"/>
          <w:highlight w:val="none"/>
        </w:rPr>
        <w:t>二、</w:t>
      </w:r>
      <w:bookmarkStart w:id="170" w:name="_Toc102227320"/>
      <w:bookmarkStart w:id="171" w:name="_Toc342913394"/>
      <w:r>
        <w:rPr>
          <w:rFonts w:hint="eastAsia" w:ascii="宋体" w:hAnsi="宋体" w:eastAsia="宋体" w:cs="宋体"/>
          <w:b/>
          <w:color w:val="auto"/>
          <w:sz w:val="24"/>
          <w:szCs w:val="24"/>
          <w:highlight w:val="none"/>
        </w:rPr>
        <w:t>评审标准</w:t>
      </w:r>
      <w:bookmarkEnd w:id="166"/>
      <w:bookmarkEnd w:id="167"/>
      <w:bookmarkEnd w:id="168"/>
      <w:bookmarkEnd w:id="169"/>
    </w:p>
    <w:tbl>
      <w:tblPr>
        <w:tblStyle w:val="58"/>
        <w:tblW w:w="9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E599"/>
        <w:tblLayout w:type="fixed"/>
        <w:tblCellMar>
          <w:top w:w="0" w:type="dxa"/>
          <w:left w:w="108" w:type="dxa"/>
          <w:bottom w:w="0" w:type="dxa"/>
          <w:right w:w="108" w:type="dxa"/>
        </w:tblCellMar>
      </w:tblPr>
      <w:tblGrid>
        <w:gridCol w:w="616"/>
        <w:gridCol w:w="1190"/>
        <w:gridCol w:w="780"/>
        <w:gridCol w:w="600"/>
        <w:gridCol w:w="4138"/>
        <w:gridCol w:w="2425"/>
      </w:tblGrid>
      <w:tr w14:paraId="1DB55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E599"/>
          <w:tblCellMar>
            <w:top w:w="0" w:type="dxa"/>
            <w:left w:w="108" w:type="dxa"/>
            <w:bottom w:w="0" w:type="dxa"/>
            <w:right w:w="108" w:type="dxa"/>
          </w:tblCellMar>
        </w:tblPrEx>
        <w:trPr>
          <w:trHeight w:val="493" w:hRule="atLeast"/>
          <w:tblHeader/>
          <w:jc w:val="center"/>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CD43F">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8DF226">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评分因素及权重</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976A43">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分值</w:t>
            </w:r>
          </w:p>
        </w:tc>
        <w:tc>
          <w:tcPr>
            <w:tcW w:w="4138"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2CEE14EE">
            <w:pPr>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评分标准</w:t>
            </w:r>
          </w:p>
        </w:tc>
        <w:tc>
          <w:tcPr>
            <w:tcW w:w="2425" w:type="dxa"/>
            <w:tcBorders>
              <w:top w:val="single" w:color="000000" w:sz="4" w:space="0"/>
              <w:left w:val="single" w:color="000000" w:sz="4" w:space="0"/>
              <w:bottom w:val="single" w:color="000000" w:sz="4" w:space="0"/>
              <w:right w:val="single" w:color="auto" w:sz="4" w:space="0"/>
            </w:tcBorders>
            <w:shd w:val="clear" w:color="auto" w:fill="FFFFFF"/>
            <w:noWrap w:val="0"/>
            <w:vAlign w:val="center"/>
          </w:tcPr>
          <w:p w14:paraId="574E1C4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需提供佐证</w:t>
            </w:r>
          </w:p>
        </w:tc>
      </w:tr>
      <w:tr w14:paraId="1EBF5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6" w:hRule="atLeast"/>
          <w:tblHeader/>
          <w:jc w:val="center"/>
        </w:trPr>
        <w:tc>
          <w:tcPr>
            <w:tcW w:w="616" w:type="dxa"/>
            <w:vMerge w:val="restart"/>
            <w:tcBorders>
              <w:top w:val="single" w:color="000000" w:sz="4" w:space="0"/>
              <w:left w:val="single" w:color="000000" w:sz="4" w:space="0"/>
              <w:right w:val="single" w:color="000000" w:sz="4" w:space="0"/>
            </w:tcBorders>
            <w:shd w:val="clear" w:color="auto" w:fill="auto"/>
            <w:noWrap w:val="0"/>
            <w:vAlign w:val="center"/>
          </w:tcPr>
          <w:p w14:paraId="24D632CC">
            <w:pPr>
              <w:spacing w:line="240" w:lineRule="auto"/>
              <w:ind w:firstLine="28"/>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1190" w:type="dxa"/>
            <w:vMerge w:val="restart"/>
            <w:tcBorders>
              <w:top w:val="single" w:color="000000" w:sz="4" w:space="0"/>
              <w:left w:val="single" w:color="000000" w:sz="4" w:space="0"/>
              <w:right w:val="single" w:color="000000" w:sz="4" w:space="0"/>
            </w:tcBorders>
            <w:shd w:val="clear" w:color="auto" w:fill="auto"/>
            <w:noWrap w:val="0"/>
            <w:vAlign w:val="center"/>
          </w:tcPr>
          <w:p w14:paraId="3949F16A">
            <w:pPr>
              <w:snapToGrid w:val="0"/>
              <w:spacing w:line="240" w:lineRule="auto"/>
              <w:ind w:firstLine="420" w:firstLineChars="200"/>
              <w:jc w:val="center"/>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服务</w:t>
            </w:r>
          </w:p>
          <w:p w14:paraId="573BDB62">
            <w:pPr>
              <w:snapToGrid w:val="0"/>
              <w:spacing w:line="240" w:lineRule="auto"/>
              <w:ind w:firstLine="420" w:firstLineChars="20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部分</w:t>
            </w:r>
          </w:p>
          <w:p w14:paraId="79194D61">
            <w:pPr>
              <w:snapToGrid w:val="0"/>
              <w:spacing w:line="240" w:lineRule="auto"/>
              <w:ind w:firstLine="420" w:firstLineChars="20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80</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w:t>
            </w:r>
          </w:p>
        </w:tc>
        <w:tc>
          <w:tcPr>
            <w:tcW w:w="780" w:type="dxa"/>
            <w:tcBorders>
              <w:top w:val="single" w:color="000000" w:sz="4" w:space="0"/>
              <w:left w:val="single" w:color="000000" w:sz="4" w:space="0"/>
              <w:right w:val="single" w:color="000000" w:sz="4" w:space="0"/>
            </w:tcBorders>
            <w:shd w:val="clear" w:color="auto" w:fill="auto"/>
            <w:noWrap w:val="0"/>
            <w:vAlign w:val="center"/>
          </w:tcPr>
          <w:p w14:paraId="6E173560">
            <w:pPr>
              <w:spacing w:line="24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公益</w:t>
            </w:r>
          </w:p>
          <w:p w14:paraId="73021663">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岗位</w:t>
            </w:r>
          </w:p>
        </w:tc>
        <w:tc>
          <w:tcPr>
            <w:tcW w:w="600" w:type="dxa"/>
            <w:tcBorders>
              <w:top w:val="single" w:color="000000" w:sz="4" w:space="0"/>
              <w:left w:val="single" w:color="000000" w:sz="4" w:space="0"/>
              <w:right w:val="single" w:color="000000" w:sz="4" w:space="0"/>
            </w:tcBorders>
            <w:shd w:val="clear" w:color="auto" w:fill="auto"/>
            <w:noWrap w:val="0"/>
            <w:vAlign w:val="center"/>
          </w:tcPr>
          <w:p w14:paraId="59C4E271">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60</w:t>
            </w:r>
          </w:p>
        </w:tc>
        <w:tc>
          <w:tcPr>
            <w:tcW w:w="4138" w:type="dxa"/>
            <w:tcBorders>
              <w:top w:val="single" w:color="000000" w:sz="4" w:space="0"/>
              <w:left w:val="single" w:color="000000" w:sz="4" w:space="0"/>
              <w:right w:val="single" w:color="auto" w:sz="4" w:space="0"/>
            </w:tcBorders>
            <w:shd w:val="clear" w:color="auto" w:fill="auto"/>
            <w:noWrap w:val="0"/>
            <w:vAlign w:val="center"/>
          </w:tcPr>
          <w:p w14:paraId="3DE4D2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无偿</w:t>
            </w:r>
            <w:r>
              <w:rPr>
                <w:rFonts w:hint="eastAsia" w:ascii="宋体" w:hAnsi="宋体" w:eastAsia="宋体" w:cs="宋体"/>
                <w:color w:val="auto"/>
                <w:sz w:val="21"/>
                <w:szCs w:val="21"/>
                <w:highlight w:val="none"/>
              </w:rPr>
              <w:t>提供公</w:t>
            </w:r>
            <w:r>
              <w:rPr>
                <w:rFonts w:hint="eastAsia" w:ascii="宋体" w:hAnsi="宋体" w:eastAsia="宋体" w:cs="宋体"/>
                <w:color w:val="auto"/>
                <w:sz w:val="21"/>
                <w:szCs w:val="21"/>
                <w:highlight w:val="none"/>
                <w:lang w:eastAsia="zh-CN"/>
              </w:rPr>
              <w:t>益性</w:t>
            </w:r>
            <w:r>
              <w:rPr>
                <w:rFonts w:hint="eastAsia" w:ascii="宋体" w:hAnsi="宋体" w:eastAsia="宋体" w:cs="宋体"/>
                <w:color w:val="auto"/>
                <w:sz w:val="21"/>
                <w:szCs w:val="21"/>
                <w:highlight w:val="none"/>
              </w:rPr>
              <w:t>岗位，每1人</w:t>
            </w:r>
            <w:r>
              <w:rPr>
                <w:rFonts w:hint="eastAsia" w:ascii="宋体" w:hAnsi="宋体" w:cs="宋体"/>
                <w:color w:val="auto"/>
                <w:sz w:val="21"/>
                <w:szCs w:val="21"/>
                <w:highlight w:val="none"/>
                <w:lang w:val="en-US" w:eastAsia="zh-CN"/>
              </w:rPr>
              <w:t>得15</w:t>
            </w:r>
            <w:r>
              <w:rPr>
                <w:rFonts w:hint="eastAsia" w:ascii="宋体" w:hAnsi="宋体" w:eastAsia="宋体" w:cs="宋体"/>
                <w:color w:val="auto"/>
                <w:sz w:val="21"/>
                <w:szCs w:val="21"/>
                <w:highlight w:val="none"/>
              </w:rPr>
              <w:t>分，最多得</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tc>
        <w:tc>
          <w:tcPr>
            <w:tcW w:w="2425" w:type="dxa"/>
            <w:tcBorders>
              <w:top w:val="single" w:color="000000" w:sz="4" w:space="0"/>
              <w:left w:val="single" w:color="000000" w:sz="4" w:space="0"/>
              <w:right w:val="single" w:color="auto" w:sz="4" w:space="0"/>
            </w:tcBorders>
            <w:shd w:val="clear" w:color="auto" w:fill="auto"/>
            <w:noWrap w:val="0"/>
            <w:vAlign w:val="center"/>
          </w:tcPr>
          <w:p w14:paraId="047F9C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人数详见</w:t>
            </w:r>
            <w:r>
              <w:rPr>
                <w:rFonts w:hint="eastAsia" w:ascii="宋体" w:hAnsi="宋体" w:cs="宋体"/>
                <w:color w:val="auto"/>
                <w:sz w:val="21"/>
                <w:szCs w:val="21"/>
                <w:highlight w:val="none"/>
                <w:lang w:eastAsia="zh-CN"/>
              </w:rPr>
              <w:t>竞争性磋商</w:t>
            </w:r>
            <w:r>
              <w:rPr>
                <w:rFonts w:hint="eastAsia" w:ascii="宋体" w:hAnsi="宋体" w:eastAsia="宋体" w:cs="宋体"/>
                <w:color w:val="auto"/>
                <w:sz w:val="21"/>
                <w:szCs w:val="21"/>
                <w:highlight w:val="none"/>
              </w:rPr>
              <w:t>报价函</w:t>
            </w:r>
          </w:p>
        </w:tc>
      </w:tr>
      <w:tr w14:paraId="1C4BD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tblHeader/>
          <w:jc w:val="center"/>
        </w:trPr>
        <w:tc>
          <w:tcPr>
            <w:tcW w:w="616" w:type="dxa"/>
            <w:vMerge w:val="continue"/>
            <w:tcBorders>
              <w:top w:val="single" w:color="000000" w:sz="4" w:space="0"/>
              <w:left w:val="single" w:color="000000" w:sz="4" w:space="0"/>
              <w:right w:val="single" w:color="000000" w:sz="4" w:space="0"/>
            </w:tcBorders>
            <w:shd w:val="clear" w:color="auto" w:fill="auto"/>
            <w:noWrap w:val="0"/>
            <w:vAlign w:val="center"/>
          </w:tcPr>
          <w:p w14:paraId="469BB5DC">
            <w:pPr>
              <w:spacing w:line="240" w:lineRule="auto"/>
              <w:ind w:firstLine="28"/>
              <w:jc w:val="center"/>
              <w:rPr>
                <w:rFonts w:hint="eastAsia" w:ascii="宋体" w:hAnsi="宋体" w:eastAsia="宋体" w:cs="宋体"/>
                <w:color w:val="auto"/>
                <w:kern w:val="0"/>
                <w:sz w:val="21"/>
                <w:szCs w:val="21"/>
                <w:highlight w:val="none"/>
              </w:rPr>
            </w:pPr>
          </w:p>
        </w:tc>
        <w:tc>
          <w:tcPr>
            <w:tcW w:w="1190" w:type="dxa"/>
            <w:vMerge w:val="continue"/>
            <w:tcBorders>
              <w:top w:val="single" w:color="000000" w:sz="4" w:space="0"/>
              <w:left w:val="single" w:color="000000" w:sz="4" w:space="0"/>
              <w:right w:val="single" w:color="000000" w:sz="4" w:space="0"/>
            </w:tcBorders>
            <w:shd w:val="clear" w:color="auto" w:fill="auto"/>
            <w:noWrap w:val="0"/>
            <w:vAlign w:val="center"/>
          </w:tcPr>
          <w:p w14:paraId="7BA312DD">
            <w:pPr>
              <w:snapToGrid w:val="0"/>
              <w:spacing w:line="240" w:lineRule="auto"/>
              <w:ind w:firstLine="28"/>
              <w:jc w:val="center"/>
              <w:rPr>
                <w:rFonts w:hint="eastAsia" w:ascii="宋体" w:hAnsi="宋体" w:eastAsia="宋体" w:cs="宋体"/>
                <w:color w:val="auto"/>
                <w:kern w:val="0"/>
                <w:sz w:val="21"/>
                <w:szCs w:val="21"/>
                <w:highlight w:val="none"/>
              </w:rPr>
            </w:pPr>
          </w:p>
        </w:tc>
        <w:tc>
          <w:tcPr>
            <w:tcW w:w="780" w:type="dxa"/>
            <w:tcBorders>
              <w:left w:val="single" w:color="000000" w:sz="4" w:space="0"/>
              <w:right w:val="single" w:color="000000" w:sz="4" w:space="0"/>
            </w:tcBorders>
            <w:shd w:val="clear" w:color="auto" w:fill="auto"/>
            <w:noWrap w:val="0"/>
            <w:vAlign w:val="center"/>
          </w:tcPr>
          <w:p w14:paraId="761AE50E">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w:t>
            </w:r>
          </w:p>
          <w:p w14:paraId="319785AC">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能力</w:t>
            </w:r>
          </w:p>
        </w:tc>
        <w:tc>
          <w:tcPr>
            <w:tcW w:w="600" w:type="dxa"/>
            <w:tcBorders>
              <w:left w:val="single" w:color="000000" w:sz="4" w:space="0"/>
              <w:right w:val="single" w:color="000000" w:sz="4" w:space="0"/>
            </w:tcBorders>
            <w:shd w:val="clear" w:color="auto" w:fill="auto"/>
            <w:noWrap w:val="0"/>
            <w:vAlign w:val="center"/>
          </w:tcPr>
          <w:p w14:paraId="51695E81">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4138" w:type="dxa"/>
            <w:tcBorders>
              <w:top w:val="single" w:color="000000" w:sz="4" w:space="0"/>
              <w:left w:val="single" w:color="000000" w:sz="4" w:space="0"/>
              <w:right w:val="single" w:color="auto" w:sz="4" w:space="0"/>
            </w:tcBorders>
            <w:shd w:val="clear" w:color="auto" w:fill="auto"/>
            <w:noWrap w:val="0"/>
            <w:vAlign w:val="center"/>
          </w:tcPr>
          <w:p w14:paraId="0CFE78A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服务1</w:t>
            </w:r>
            <w:r>
              <w:rPr>
                <w:rFonts w:hint="eastAsia" w:ascii="宋体" w:hAnsi="宋体" w:eastAsia="宋体" w:cs="宋体"/>
                <w:color w:val="auto"/>
                <w:sz w:val="21"/>
                <w:szCs w:val="21"/>
                <w:highlight w:val="none"/>
                <w:lang w:eastAsia="zh-CN"/>
              </w:rPr>
              <w:t>家</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级及以上</w:t>
            </w:r>
            <w:r>
              <w:rPr>
                <w:rFonts w:hint="eastAsia" w:ascii="宋体" w:hAnsi="宋体" w:eastAsia="宋体" w:cs="宋体"/>
                <w:color w:val="auto"/>
                <w:sz w:val="21"/>
                <w:szCs w:val="21"/>
                <w:highlight w:val="none"/>
                <w:lang w:eastAsia="zh-CN"/>
              </w:rPr>
              <w:t>医院得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最多得20分。</w:t>
            </w:r>
          </w:p>
        </w:tc>
        <w:tc>
          <w:tcPr>
            <w:tcW w:w="2425" w:type="dxa"/>
            <w:tcBorders>
              <w:left w:val="single" w:color="000000" w:sz="4" w:space="0"/>
              <w:right w:val="single" w:color="auto" w:sz="4" w:space="0"/>
            </w:tcBorders>
            <w:shd w:val="clear" w:color="auto" w:fill="auto"/>
            <w:noWrap w:val="0"/>
            <w:vAlign w:val="center"/>
          </w:tcPr>
          <w:p w14:paraId="2E21C2F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提供企业与服务医院合同协议书复印件各一份（需在合同有效服务期内）</w:t>
            </w:r>
          </w:p>
        </w:tc>
      </w:tr>
      <w:tr w14:paraId="37EC4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tblHeader/>
          <w:jc w:val="center"/>
        </w:trPr>
        <w:tc>
          <w:tcPr>
            <w:tcW w:w="616" w:type="dxa"/>
            <w:vMerge w:val="restart"/>
            <w:tcBorders>
              <w:top w:val="single" w:color="000000" w:sz="4" w:space="0"/>
              <w:left w:val="single" w:color="000000" w:sz="4" w:space="0"/>
              <w:right w:val="single" w:color="000000" w:sz="4" w:space="0"/>
            </w:tcBorders>
            <w:shd w:val="clear" w:color="auto" w:fill="auto"/>
            <w:noWrap w:val="0"/>
            <w:vAlign w:val="center"/>
          </w:tcPr>
          <w:p w14:paraId="2EA0E856">
            <w:pPr>
              <w:spacing w:line="240" w:lineRule="auto"/>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p>
        </w:tc>
        <w:tc>
          <w:tcPr>
            <w:tcW w:w="1190" w:type="dxa"/>
            <w:vMerge w:val="restart"/>
            <w:tcBorders>
              <w:top w:val="single" w:color="000000" w:sz="4" w:space="0"/>
              <w:left w:val="single" w:color="000000" w:sz="4" w:space="0"/>
              <w:right w:val="single" w:color="000000" w:sz="4" w:space="0"/>
            </w:tcBorders>
            <w:shd w:val="clear" w:color="auto" w:fill="auto"/>
            <w:noWrap w:val="0"/>
            <w:vAlign w:val="center"/>
          </w:tcPr>
          <w:p w14:paraId="77DAE8EF">
            <w:pPr>
              <w:spacing w:line="240" w:lineRule="auto"/>
              <w:ind w:firstLine="420" w:firstLineChars="20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商务</w:t>
            </w:r>
          </w:p>
          <w:p w14:paraId="2123A1EB">
            <w:pPr>
              <w:spacing w:line="240" w:lineRule="auto"/>
              <w:ind w:firstLine="420" w:firstLineChars="20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部分</w:t>
            </w:r>
          </w:p>
          <w:p w14:paraId="5CC9D6F5">
            <w:pPr>
              <w:spacing w:line="240" w:lineRule="auto"/>
              <w:ind w:firstLine="420" w:firstLineChars="20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w:t>
            </w:r>
          </w:p>
        </w:tc>
        <w:tc>
          <w:tcPr>
            <w:tcW w:w="780" w:type="dxa"/>
            <w:tcBorders>
              <w:top w:val="single" w:color="000000" w:sz="4" w:space="0"/>
              <w:left w:val="single" w:color="000000" w:sz="4" w:space="0"/>
              <w:right w:val="single" w:color="000000" w:sz="4" w:space="0"/>
            </w:tcBorders>
            <w:shd w:val="clear" w:color="auto" w:fill="auto"/>
            <w:noWrap w:val="0"/>
            <w:vAlign w:val="center"/>
          </w:tcPr>
          <w:p w14:paraId="41D04F92">
            <w:pPr>
              <w:spacing w:line="24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培训</w:t>
            </w:r>
          </w:p>
          <w:p w14:paraId="342925F9">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方案</w:t>
            </w:r>
          </w:p>
        </w:tc>
        <w:tc>
          <w:tcPr>
            <w:tcW w:w="600" w:type="dxa"/>
            <w:tcBorders>
              <w:top w:val="single" w:color="000000" w:sz="4" w:space="0"/>
              <w:left w:val="single" w:color="000000" w:sz="4" w:space="0"/>
              <w:right w:val="single" w:color="000000" w:sz="4" w:space="0"/>
            </w:tcBorders>
            <w:shd w:val="clear" w:color="auto" w:fill="auto"/>
            <w:noWrap w:val="0"/>
            <w:vAlign w:val="center"/>
          </w:tcPr>
          <w:p w14:paraId="3A7DD4AC">
            <w:pPr>
              <w:spacing w:line="240" w:lineRule="auto"/>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138" w:type="dxa"/>
            <w:tcBorders>
              <w:top w:val="single" w:color="000000" w:sz="4" w:space="0"/>
              <w:left w:val="single" w:color="000000" w:sz="4" w:space="0"/>
              <w:right w:val="single" w:color="auto" w:sz="4" w:space="0"/>
            </w:tcBorders>
            <w:shd w:val="clear" w:color="auto" w:fill="auto"/>
            <w:noWrap w:val="0"/>
            <w:vAlign w:val="center"/>
          </w:tcPr>
          <w:p w14:paraId="5DAC6B98">
            <w:pPr>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有人员上岗前及在岗日常培训方案，包括培训方式、培训内容等，方案详细、实际可行、针对性强，得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分；方案较详细可行，得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分；方案不够详细、岗前培训做</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rPr>
              <w:t>不够充分，得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未提供方案得0分。</w:t>
            </w:r>
          </w:p>
        </w:tc>
        <w:tc>
          <w:tcPr>
            <w:tcW w:w="2425" w:type="dxa"/>
            <w:tcBorders>
              <w:top w:val="single" w:color="auto" w:sz="4" w:space="0"/>
              <w:left w:val="single" w:color="auto" w:sz="4" w:space="0"/>
              <w:right w:val="single" w:color="auto" w:sz="4" w:space="0"/>
            </w:tcBorders>
            <w:shd w:val="clear" w:color="auto" w:fill="auto"/>
            <w:noWrap w:val="0"/>
            <w:vAlign w:val="center"/>
          </w:tcPr>
          <w:p w14:paraId="69F274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提供企业对人员详细培训方案</w:t>
            </w:r>
          </w:p>
        </w:tc>
      </w:tr>
      <w:tr w14:paraId="5C7BD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tblHeader/>
          <w:jc w:val="center"/>
        </w:trPr>
        <w:tc>
          <w:tcPr>
            <w:tcW w:w="616" w:type="dxa"/>
            <w:vMerge w:val="continue"/>
            <w:tcBorders>
              <w:left w:val="single" w:color="000000" w:sz="4" w:space="0"/>
              <w:right w:val="single" w:color="000000" w:sz="4" w:space="0"/>
            </w:tcBorders>
            <w:shd w:val="clear" w:color="auto" w:fill="auto"/>
            <w:noWrap w:val="0"/>
            <w:vAlign w:val="top"/>
          </w:tcPr>
          <w:p w14:paraId="2AB6512B">
            <w:pPr>
              <w:spacing w:line="240" w:lineRule="auto"/>
              <w:jc w:val="center"/>
              <w:rPr>
                <w:rFonts w:hint="eastAsia" w:ascii="宋体" w:hAnsi="宋体" w:eastAsia="宋体" w:cs="宋体"/>
                <w:color w:val="auto"/>
                <w:kern w:val="0"/>
                <w:sz w:val="21"/>
                <w:szCs w:val="21"/>
                <w:highlight w:val="none"/>
              </w:rPr>
            </w:pPr>
          </w:p>
        </w:tc>
        <w:tc>
          <w:tcPr>
            <w:tcW w:w="1190" w:type="dxa"/>
            <w:vMerge w:val="continue"/>
            <w:tcBorders>
              <w:left w:val="single" w:color="000000" w:sz="4" w:space="0"/>
              <w:right w:val="single" w:color="000000" w:sz="4" w:space="0"/>
            </w:tcBorders>
            <w:shd w:val="clear" w:color="auto" w:fill="auto"/>
            <w:noWrap w:val="0"/>
            <w:vAlign w:val="top"/>
          </w:tcPr>
          <w:p w14:paraId="72EF9A63">
            <w:pPr>
              <w:spacing w:line="240" w:lineRule="auto"/>
              <w:jc w:val="center"/>
              <w:rPr>
                <w:rFonts w:hint="eastAsia" w:ascii="宋体" w:hAnsi="宋体" w:eastAsia="宋体" w:cs="宋体"/>
                <w:color w:val="auto"/>
                <w:kern w:val="0"/>
                <w:sz w:val="21"/>
                <w:szCs w:val="21"/>
                <w:highlight w:val="none"/>
              </w:rPr>
            </w:pPr>
          </w:p>
        </w:tc>
        <w:tc>
          <w:tcPr>
            <w:tcW w:w="780" w:type="dxa"/>
            <w:vMerge w:val="restart"/>
            <w:tcBorders>
              <w:left w:val="single" w:color="000000" w:sz="4" w:space="0"/>
              <w:right w:val="single" w:color="000000" w:sz="4" w:space="0"/>
            </w:tcBorders>
            <w:shd w:val="clear" w:color="auto" w:fill="auto"/>
            <w:noWrap w:val="0"/>
            <w:vAlign w:val="center"/>
          </w:tcPr>
          <w:p w14:paraId="04B509A0">
            <w:pPr>
              <w:spacing w:line="24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w:t>
            </w:r>
          </w:p>
          <w:p w14:paraId="73082202">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方案</w:t>
            </w:r>
          </w:p>
        </w:tc>
        <w:tc>
          <w:tcPr>
            <w:tcW w:w="600" w:type="dxa"/>
            <w:tcBorders>
              <w:left w:val="single" w:color="000000" w:sz="4" w:space="0"/>
              <w:right w:val="single" w:color="000000" w:sz="4" w:space="0"/>
            </w:tcBorders>
            <w:shd w:val="clear" w:color="auto" w:fill="auto"/>
            <w:noWrap w:val="0"/>
            <w:vAlign w:val="center"/>
          </w:tcPr>
          <w:p w14:paraId="685ED050">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413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593725D">
            <w:pPr>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针对本项目服务特点、难点分析，定位准确、分析合理得</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服务方案针对性一般、可行性一般、措施不具体，</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1.5分，未提供对应方案得0分。</w:t>
            </w:r>
          </w:p>
        </w:tc>
        <w:tc>
          <w:tcPr>
            <w:tcW w:w="2425" w:type="dxa"/>
            <w:tcBorders>
              <w:top w:val="single" w:color="000000" w:sz="4" w:space="0"/>
              <w:left w:val="single" w:color="auto" w:sz="4" w:space="0"/>
              <w:bottom w:val="single" w:color="000000" w:sz="4" w:space="0"/>
              <w:right w:val="single" w:color="auto" w:sz="4" w:space="0"/>
            </w:tcBorders>
            <w:shd w:val="clear" w:color="auto" w:fill="auto"/>
            <w:noWrap w:val="0"/>
            <w:vAlign w:val="center"/>
          </w:tcPr>
          <w:p w14:paraId="625844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提供本项目服务方案</w:t>
            </w:r>
          </w:p>
        </w:tc>
      </w:tr>
      <w:tr w14:paraId="7EDA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8" w:hRule="atLeast"/>
          <w:tblHeader/>
          <w:jc w:val="center"/>
        </w:trPr>
        <w:tc>
          <w:tcPr>
            <w:tcW w:w="616" w:type="dxa"/>
            <w:vMerge w:val="continue"/>
            <w:tcBorders>
              <w:left w:val="single" w:color="000000" w:sz="4" w:space="0"/>
              <w:right w:val="single" w:color="000000" w:sz="4" w:space="0"/>
            </w:tcBorders>
            <w:shd w:val="clear" w:color="auto" w:fill="auto"/>
            <w:noWrap w:val="0"/>
            <w:vAlign w:val="top"/>
          </w:tcPr>
          <w:p w14:paraId="1F608B22">
            <w:pPr>
              <w:spacing w:line="240" w:lineRule="auto"/>
              <w:jc w:val="center"/>
              <w:rPr>
                <w:rFonts w:hint="eastAsia" w:ascii="宋体" w:hAnsi="宋体" w:eastAsia="宋体" w:cs="宋体"/>
                <w:color w:val="auto"/>
                <w:kern w:val="0"/>
                <w:sz w:val="21"/>
                <w:szCs w:val="21"/>
                <w:highlight w:val="none"/>
              </w:rPr>
            </w:pPr>
          </w:p>
        </w:tc>
        <w:tc>
          <w:tcPr>
            <w:tcW w:w="1190" w:type="dxa"/>
            <w:vMerge w:val="continue"/>
            <w:tcBorders>
              <w:left w:val="single" w:color="000000" w:sz="4" w:space="0"/>
              <w:right w:val="single" w:color="000000" w:sz="4" w:space="0"/>
            </w:tcBorders>
            <w:shd w:val="clear" w:color="auto" w:fill="auto"/>
            <w:noWrap w:val="0"/>
            <w:vAlign w:val="top"/>
          </w:tcPr>
          <w:p w14:paraId="7F5FFB2B">
            <w:pPr>
              <w:spacing w:line="240" w:lineRule="auto"/>
              <w:jc w:val="center"/>
              <w:rPr>
                <w:rFonts w:hint="eastAsia" w:ascii="宋体" w:hAnsi="宋体" w:eastAsia="宋体" w:cs="宋体"/>
                <w:color w:val="auto"/>
                <w:kern w:val="0"/>
                <w:sz w:val="21"/>
                <w:szCs w:val="21"/>
                <w:highlight w:val="none"/>
              </w:rPr>
            </w:pPr>
          </w:p>
        </w:tc>
        <w:tc>
          <w:tcPr>
            <w:tcW w:w="780" w:type="dxa"/>
            <w:vMerge w:val="continue"/>
            <w:tcBorders>
              <w:left w:val="single" w:color="000000" w:sz="4" w:space="0"/>
              <w:right w:val="single" w:color="000000" w:sz="4" w:space="0"/>
            </w:tcBorders>
            <w:shd w:val="clear" w:color="auto" w:fill="auto"/>
            <w:noWrap w:val="0"/>
            <w:vAlign w:val="center"/>
          </w:tcPr>
          <w:p w14:paraId="387C33CF">
            <w:pPr>
              <w:spacing w:line="240" w:lineRule="auto"/>
              <w:ind w:firstLine="28"/>
              <w:jc w:val="center"/>
              <w:rPr>
                <w:rFonts w:hint="eastAsia" w:ascii="宋体" w:hAnsi="宋体" w:eastAsia="宋体" w:cs="宋体"/>
                <w:color w:val="auto"/>
                <w:sz w:val="21"/>
                <w:szCs w:val="21"/>
                <w:highlight w:val="none"/>
              </w:rPr>
            </w:pPr>
          </w:p>
        </w:tc>
        <w:tc>
          <w:tcPr>
            <w:tcW w:w="600" w:type="dxa"/>
            <w:tcBorders>
              <w:left w:val="single" w:color="000000" w:sz="4" w:space="0"/>
              <w:right w:val="single" w:color="000000" w:sz="4" w:space="0"/>
            </w:tcBorders>
            <w:shd w:val="clear" w:color="auto" w:fill="auto"/>
            <w:noWrap w:val="0"/>
            <w:vAlign w:val="center"/>
          </w:tcPr>
          <w:p w14:paraId="243D7216">
            <w:pPr>
              <w:spacing w:line="240" w:lineRule="auto"/>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413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633A46B">
            <w:pPr>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针对本项目的</w:t>
            </w:r>
            <w:r>
              <w:rPr>
                <w:rFonts w:hint="eastAsia" w:ascii="宋体" w:hAnsi="宋体" w:eastAsia="宋体" w:cs="宋体"/>
                <w:color w:val="auto"/>
                <w:sz w:val="21"/>
                <w:szCs w:val="21"/>
                <w:highlight w:val="none"/>
                <w:lang w:val="en-US" w:eastAsia="zh-CN"/>
              </w:rPr>
              <w:t>日常管理制度，接管、进驻方案，制度完善、方案全面，有可行性得2.5分，针对性一般、可行性一般得1.5分，无制度和方案得0</w:t>
            </w:r>
            <w:r>
              <w:rPr>
                <w:rFonts w:hint="eastAsia" w:ascii="宋体" w:hAnsi="宋体" w:cs="宋体"/>
                <w:color w:val="auto"/>
                <w:sz w:val="21"/>
                <w:szCs w:val="21"/>
                <w:highlight w:val="none"/>
                <w:lang w:val="en-US" w:eastAsia="zh-CN"/>
              </w:rPr>
              <w:t>分。</w:t>
            </w:r>
          </w:p>
        </w:tc>
        <w:tc>
          <w:tcPr>
            <w:tcW w:w="2425" w:type="dxa"/>
            <w:tcBorders>
              <w:top w:val="single" w:color="000000" w:sz="4" w:space="0"/>
              <w:left w:val="single" w:color="auto" w:sz="4" w:space="0"/>
              <w:bottom w:val="single" w:color="000000" w:sz="4" w:space="0"/>
              <w:right w:val="single" w:color="auto" w:sz="4" w:space="0"/>
            </w:tcBorders>
            <w:shd w:val="clear" w:color="auto" w:fill="auto"/>
            <w:noWrap w:val="0"/>
            <w:vAlign w:val="center"/>
          </w:tcPr>
          <w:p w14:paraId="347DCB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提供本项目服务日常管理制度，接管、进驻方案</w:t>
            </w:r>
          </w:p>
        </w:tc>
      </w:tr>
      <w:tr w14:paraId="26970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blHeader/>
          <w:jc w:val="center"/>
        </w:trPr>
        <w:tc>
          <w:tcPr>
            <w:tcW w:w="616" w:type="dxa"/>
            <w:vMerge w:val="continue"/>
            <w:tcBorders>
              <w:left w:val="single" w:color="000000" w:sz="4" w:space="0"/>
              <w:right w:val="single" w:color="000000" w:sz="4" w:space="0"/>
            </w:tcBorders>
            <w:shd w:val="clear" w:color="auto" w:fill="auto"/>
            <w:noWrap w:val="0"/>
            <w:vAlign w:val="top"/>
          </w:tcPr>
          <w:p w14:paraId="713D7316">
            <w:pPr>
              <w:spacing w:line="240" w:lineRule="auto"/>
              <w:jc w:val="center"/>
              <w:rPr>
                <w:rFonts w:hint="eastAsia" w:ascii="宋体" w:hAnsi="宋体" w:eastAsia="宋体" w:cs="宋体"/>
                <w:color w:val="auto"/>
                <w:kern w:val="0"/>
                <w:sz w:val="21"/>
                <w:szCs w:val="21"/>
                <w:highlight w:val="none"/>
              </w:rPr>
            </w:pPr>
          </w:p>
        </w:tc>
        <w:tc>
          <w:tcPr>
            <w:tcW w:w="1190" w:type="dxa"/>
            <w:vMerge w:val="continue"/>
            <w:tcBorders>
              <w:left w:val="single" w:color="000000" w:sz="4" w:space="0"/>
              <w:right w:val="single" w:color="000000" w:sz="4" w:space="0"/>
            </w:tcBorders>
            <w:shd w:val="clear" w:color="auto" w:fill="auto"/>
            <w:noWrap w:val="0"/>
            <w:vAlign w:val="top"/>
          </w:tcPr>
          <w:p w14:paraId="3E9EC56A">
            <w:pPr>
              <w:spacing w:line="240" w:lineRule="auto"/>
              <w:jc w:val="center"/>
              <w:rPr>
                <w:rFonts w:hint="eastAsia" w:ascii="宋体" w:hAnsi="宋体" w:eastAsia="宋体" w:cs="宋体"/>
                <w:color w:val="auto"/>
                <w:kern w:val="0"/>
                <w:sz w:val="21"/>
                <w:szCs w:val="21"/>
                <w:highlight w:val="none"/>
              </w:rPr>
            </w:pPr>
          </w:p>
        </w:tc>
        <w:tc>
          <w:tcPr>
            <w:tcW w:w="780" w:type="dxa"/>
            <w:vMerge w:val="continue"/>
            <w:tcBorders>
              <w:left w:val="single" w:color="000000" w:sz="4" w:space="0"/>
              <w:right w:val="single" w:color="000000" w:sz="4" w:space="0"/>
            </w:tcBorders>
            <w:shd w:val="clear" w:color="auto" w:fill="auto"/>
            <w:noWrap w:val="0"/>
            <w:vAlign w:val="center"/>
          </w:tcPr>
          <w:p w14:paraId="093FA363">
            <w:pPr>
              <w:spacing w:line="240" w:lineRule="auto"/>
              <w:ind w:firstLine="28"/>
              <w:jc w:val="center"/>
              <w:rPr>
                <w:rFonts w:hint="eastAsia" w:ascii="宋体" w:hAnsi="宋体" w:eastAsia="宋体" w:cs="宋体"/>
                <w:color w:val="auto"/>
                <w:sz w:val="21"/>
                <w:szCs w:val="21"/>
                <w:highlight w:val="none"/>
              </w:rPr>
            </w:pPr>
          </w:p>
        </w:tc>
        <w:tc>
          <w:tcPr>
            <w:tcW w:w="600" w:type="dxa"/>
            <w:tcBorders>
              <w:left w:val="single" w:color="000000" w:sz="4" w:space="0"/>
              <w:right w:val="single" w:color="000000" w:sz="4" w:space="0"/>
            </w:tcBorders>
            <w:shd w:val="clear" w:color="auto" w:fill="auto"/>
            <w:noWrap w:val="0"/>
            <w:vAlign w:val="center"/>
          </w:tcPr>
          <w:p w14:paraId="2A19E719">
            <w:pPr>
              <w:spacing w:line="240" w:lineRule="auto"/>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w:t>
            </w:r>
          </w:p>
        </w:tc>
        <w:tc>
          <w:tcPr>
            <w:tcW w:w="413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8682581">
            <w:pPr>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针对本项目的考核及奖惩办法，</w:t>
            </w:r>
            <w:r>
              <w:rPr>
                <w:rFonts w:hint="eastAsia" w:ascii="宋体" w:hAnsi="宋体" w:eastAsia="宋体" w:cs="宋体"/>
                <w:color w:val="auto"/>
                <w:sz w:val="21"/>
                <w:szCs w:val="21"/>
                <w:highlight w:val="none"/>
                <w:lang w:eastAsia="zh-CN"/>
              </w:rPr>
              <w:t>考核</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完善、有可行性</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val="en-US" w:eastAsia="zh-CN"/>
              </w:rPr>
              <w:t>可行性一般、措施不具体</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1.5分，未</w:t>
            </w:r>
            <w:r>
              <w:rPr>
                <w:rFonts w:hint="eastAsia" w:ascii="宋体" w:hAnsi="宋体" w:eastAsia="宋体" w:cs="宋体"/>
                <w:color w:val="auto"/>
                <w:sz w:val="21"/>
                <w:szCs w:val="21"/>
                <w:highlight w:val="none"/>
              </w:rPr>
              <w:t>提供方案</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rPr>
              <w:t>。</w:t>
            </w:r>
          </w:p>
        </w:tc>
        <w:tc>
          <w:tcPr>
            <w:tcW w:w="2425" w:type="dxa"/>
            <w:tcBorders>
              <w:top w:val="single" w:color="000000" w:sz="4" w:space="0"/>
              <w:left w:val="single" w:color="auto" w:sz="4" w:space="0"/>
              <w:bottom w:val="single" w:color="000000" w:sz="4" w:space="0"/>
              <w:right w:val="single" w:color="auto" w:sz="4" w:space="0"/>
            </w:tcBorders>
            <w:shd w:val="clear" w:color="auto" w:fill="auto"/>
            <w:noWrap w:val="0"/>
            <w:vAlign w:val="center"/>
          </w:tcPr>
          <w:p w14:paraId="1CE1F365">
            <w:pPr>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提供本项目考核及</w:t>
            </w:r>
            <w:r>
              <w:rPr>
                <w:rFonts w:hint="eastAsia" w:ascii="宋体" w:hAnsi="宋体" w:eastAsia="宋体" w:cs="宋体"/>
                <w:color w:val="auto"/>
                <w:sz w:val="21"/>
                <w:szCs w:val="21"/>
                <w:highlight w:val="none"/>
              </w:rPr>
              <w:t>奖惩办法</w:t>
            </w:r>
          </w:p>
        </w:tc>
      </w:tr>
      <w:tr w14:paraId="2C5DA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7" w:hRule="atLeast"/>
          <w:tblHeader/>
          <w:jc w:val="center"/>
        </w:trPr>
        <w:tc>
          <w:tcPr>
            <w:tcW w:w="616" w:type="dxa"/>
            <w:vMerge w:val="continue"/>
            <w:tcBorders>
              <w:left w:val="single" w:color="000000" w:sz="4" w:space="0"/>
              <w:right w:val="single" w:color="000000" w:sz="4" w:space="0"/>
            </w:tcBorders>
            <w:shd w:val="clear" w:color="auto" w:fill="auto"/>
            <w:noWrap w:val="0"/>
            <w:vAlign w:val="top"/>
          </w:tcPr>
          <w:p w14:paraId="031EEF7A">
            <w:pPr>
              <w:spacing w:line="240" w:lineRule="auto"/>
              <w:jc w:val="center"/>
              <w:rPr>
                <w:rFonts w:hint="eastAsia" w:ascii="宋体" w:hAnsi="宋体" w:eastAsia="宋体" w:cs="宋体"/>
                <w:color w:val="auto"/>
                <w:kern w:val="0"/>
                <w:sz w:val="21"/>
                <w:szCs w:val="21"/>
                <w:highlight w:val="none"/>
              </w:rPr>
            </w:pPr>
          </w:p>
        </w:tc>
        <w:tc>
          <w:tcPr>
            <w:tcW w:w="1190" w:type="dxa"/>
            <w:vMerge w:val="continue"/>
            <w:tcBorders>
              <w:left w:val="single" w:color="000000" w:sz="4" w:space="0"/>
              <w:right w:val="single" w:color="000000" w:sz="4" w:space="0"/>
            </w:tcBorders>
            <w:shd w:val="clear" w:color="auto" w:fill="auto"/>
            <w:noWrap w:val="0"/>
            <w:vAlign w:val="top"/>
          </w:tcPr>
          <w:p w14:paraId="2A69ACB7">
            <w:pPr>
              <w:spacing w:line="240" w:lineRule="auto"/>
              <w:jc w:val="center"/>
              <w:rPr>
                <w:rFonts w:hint="eastAsia" w:ascii="宋体" w:hAnsi="宋体" w:eastAsia="宋体" w:cs="宋体"/>
                <w:color w:val="auto"/>
                <w:kern w:val="0"/>
                <w:sz w:val="21"/>
                <w:szCs w:val="21"/>
                <w:highlight w:val="none"/>
              </w:rPr>
            </w:pPr>
          </w:p>
        </w:tc>
        <w:tc>
          <w:tcPr>
            <w:tcW w:w="780" w:type="dxa"/>
            <w:vMerge w:val="continue"/>
            <w:tcBorders>
              <w:left w:val="single" w:color="000000" w:sz="4" w:space="0"/>
              <w:right w:val="single" w:color="000000" w:sz="4" w:space="0"/>
            </w:tcBorders>
            <w:shd w:val="clear" w:color="auto" w:fill="auto"/>
            <w:noWrap w:val="0"/>
            <w:vAlign w:val="center"/>
          </w:tcPr>
          <w:p w14:paraId="33D4F418">
            <w:pPr>
              <w:spacing w:line="240" w:lineRule="auto"/>
              <w:ind w:firstLine="28"/>
              <w:jc w:val="center"/>
              <w:rPr>
                <w:rFonts w:hint="eastAsia" w:ascii="宋体" w:hAnsi="宋体" w:eastAsia="宋体" w:cs="宋体"/>
                <w:color w:val="auto"/>
                <w:sz w:val="21"/>
                <w:szCs w:val="21"/>
                <w:highlight w:val="none"/>
              </w:rPr>
            </w:pPr>
          </w:p>
        </w:tc>
        <w:tc>
          <w:tcPr>
            <w:tcW w:w="600" w:type="dxa"/>
            <w:tcBorders>
              <w:left w:val="single" w:color="000000" w:sz="4" w:space="0"/>
              <w:right w:val="single" w:color="000000" w:sz="4" w:space="0"/>
            </w:tcBorders>
            <w:shd w:val="clear" w:color="auto" w:fill="auto"/>
            <w:noWrap w:val="0"/>
            <w:vAlign w:val="center"/>
          </w:tcPr>
          <w:p w14:paraId="6B94CCF2">
            <w:pPr>
              <w:spacing w:line="240" w:lineRule="auto"/>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w:t>
            </w:r>
          </w:p>
        </w:tc>
        <w:tc>
          <w:tcPr>
            <w:tcW w:w="413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E749D67">
            <w:pPr>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针对本项目应急事件处置方案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按方案优劣进行打分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综合最强的得</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一般得</w:t>
            </w:r>
            <w:r>
              <w:rPr>
                <w:rFonts w:hint="eastAsia" w:ascii="宋体" w:hAnsi="宋体" w:eastAsia="宋体" w:cs="宋体"/>
                <w:color w:val="auto"/>
                <w:sz w:val="21"/>
                <w:szCs w:val="21"/>
                <w:highlight w:val="none"/>
                <w:lang w:val="en-US" w:eastAsia="zh-CN"/>
              </w:rPr>
              <w:t>1.5分，未</w:t>
            </w:r>
            <w:r>
              <w:rPr>
                <w:rFonts w:hint="eastAsia" w:ascii="宋体" w:hAnsi="宋体" w:eastAsia="宋体" w:cs="宋体"/>
                <w:color w:val="auto"/>
                <w:sz w:val="21"/>
                <w:szCs w:val="21"/>
                <w:highlight w:val="none"/>
              </w:rPr>
              <w:t>提供方案</w:t>
            </w:r>
            <w:r>
              <w:rPr>
                <w:rFonts w:hint="eastAsia" w:ascii="宋体" w:hAnsi="宋体" w:eastAsia="宋体" w:cs="宋体"/>
                <w:color w:val="auto"/>
                <w:sz w:val="21"/>
                <w:szCs w:val="21"/>
                <w:highlight w:val="none"/>
                <w:lang w:val="en-US" w:eastAsia="zh-CN"/>
              </w:rPr>
              <w:t>得0分</w:t>
            </w:r>
            <w:r>
              <w:rPr>
                <w:rFonts w:hint="eastAsia" w:ascii="宋体" w:hAnsi="宋体" w:eastAsia="宋体" w:cs="宋体"/>
                <w:color w:val="auto"/>
                <w:sz w:val="21"/>
                <w:szCs w:val="21"/>
                <w:highlight w:val="none"/>
              </w:rPr>
              <w:t>。</w:t>
            </w:r>
          </w:p>
        </w:tc>
        <w:tc>
          <w:tcPr>
            <w:tcW w:w="2425" w:type="dxa"/>
            <w:tcBorders>
              <w:top w:val="single" w:color="000000" w:sz="4" w:space="0"/>
              <w:left w:val="single" w:color="auto" w:sz="4" w:space="0"/>
              <w:bottom w:val="single" w:color="000000" w:sz="4" w:space="0"/>
              <w:right w:val="single" w:color="auto" w:sz="4" w:space="0"/>
            </w:tcBorders>
            <w:shd w:val="clear" w:color="auto" w:fill="auto"/>
            <w:noWrap w:val="0"/>
            <w:vAlign w:val="center"/>
          </w:tcPr>
          <w:p w14:paraId="04B553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提供本项目</w:t>
            </w:r>
            <w:r>
              <w:rPr>
                <w:rFonts w:hint="eastAsia" w:ascii="宋体" w:hAnsi="宋体" w:eastAsia="宋体" w:cs="宋体"/>
                <w:color w:val="auto"/>
                <w:sz w:val="21"/>
                <w:szCs w:val="21"/>
                <w:highlight w:val="none"/>
              </w:rPr>
              <w:t>应急事件处置方案</w:t>
            </w:r>
          </w:p>
        </w:tc>
      </w:tr>
      <w:bookmarkEnd w:id="170"/>
      <w:bookmarkEnd w:id="171"/>
    </w:tbl>
    <w:p w14:paraId="6A3EF93D">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72" w:name="_Toc28021"/>
      <w:bookmarkStart w:id="173" w:name="_Toc5706"/>
      <w:bookmarkStart w:id="174" w:name="_Toc16770"/>
      <w:bookmarkStart w:id="175" w:name="_Toc13581"/>
      <w:bookmarkStart w:id="176" w:name="_Toc10837"/>
      <w:r>
        <w:rPr>
          <w:rFonts w:hint="eastAsia" w:ascii="宋体" w:hAnsi="宋体" w:eastAsia="宋体" w:cs="宋体"/>
          <w:b/>
          <w:color w:val="auto"/>
          <w:sz w:val="24"/>
          <w:szCs w:val="24"/>
          <w:highlight w:val="none"/>
        </w:rPr>
        <w:t>三、无效响应</w:t>
      </w:r>
      <w:bookmarkEnd w:id="172"/>
      <w:bookmarkEnd w:id="173"/>
      <w:bookmarkEnd w:id="174"/>
      <w:bookmarkEnd w:id="175"/>
      <w:bookmarkEnd w:id="176"/>
    </w:p>
    <w:p w14:paraId="20718DB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供应商发生</w:t>
      </w:r>
      <w:r>
        <w:rPr>
          <w:rFonts w:hint="eastAsia" w:ascii="宋体" w:hAnsi="宋体" w:eastAsia="宋体" w:cs="宋体"/>
          <w:color w:val="auto"/>
          <w:sz w:val="24"/>
          <w:szCs w:val="24"/>
          <w:highlight w:val="none"/>
          <w:lang w:eastAsia="zh-CN"/>
        </w:rPr>
        <w:t>以下</w:t>
      </w:r>
      <w:r>
        <w:rPr>
          <w:rFonts w:hint="eastAsia" w:ascii="宋体" w:hAnsi="宋体" w:eastAsia="宋体" w:cs="宋体"/>
          <w:color w:val="auto"/>
          <w:sz w:val="24"/>
          <w:szCs w:val="24"/>
          <w:highlight w:val="none"/>
        </w:rPr>
        <w:t>情况之一者，视为无效响应，其响应文件将被拒绝：</w:t>
      </w:r>
    </w:p>
    <w:p w14:paraId="0816057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（一）供应商不符合规定的资格条件的；</w:t>
      </w:r>
    </w:p>
    <w:p w14:paraId="0CA167AC">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（二）供应商的法定代表人（或其授权代表）或自然人未参加磋商；</w:t>
      </w:r>
    </w:p>
    <w:p w14:paraId="3A1DE58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（三）供应商所提交的响应文件不按“第七篇响应文件编制要求”要求签署或盖章；</w:t>
      </w:r>
    </w:p>
    <w:p w14:paraId="415F942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（四）供应商的</w:t>
      </w:r>
      <w:r>
        <w:rPr>
          <w:rFonts w:hint="eastAsia" w:ascii="宋体" w:hAnsi="宋体" w:eastAsia="宋体" w:cs="宋体"/>
          <w:color w:val="auto"/>
          <w:sz w:val="24"/>
          <w:szCs w:val="24"/>
          <w:highlight w:val="none"/>
          <w:lang w:eastAsia="zh-CN"/>
        </w:rPr>
        <w:t>磋商报价</w:t>
      </w:r>
      <w:r>
        <w:rPr>
          <w:rFonts w:hint="eastAsia" w:ascii="宋体" w:hAnsi="宋体" w:eastAsia="宋体" w:cs="宋体"/>
          <w:color w:val="auto"/>
          <w:sz w:val="24"/>
          <w:szCs w:val="24"/>
          <w:highlight w:val="none"/>
        </w:rPr>
        <w:t>超过采购预算或最高限价的；</w:t>
      </w:r>
    </w:p>
    <w:p w14:paraId="63E87AB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（五）法定代表人为同一个人的两个及两个以上法人，母公司、全资子公司及其控股公司，在同一包采购中同时参与磋商；</w:t>
      </w:r>
    </w:p>
    <w:p w14:paraId="3C6613D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（六）单位负责人为同一人或者存在直接控股、管理关系的不同供应商，参加同一合同项下的政府采购活动的；</w:t>
      </w:r>
    </w:p>
    <w:p w14:paraId="57AC2C5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（七）为采购项目提供整体设计、规范编制或者项目管理、监理、检测等服务的供应商，再参加该采购项目的其他采购活动；</w:t>
      </w:r>
    </w:p>
    <w:p w14:paraId="2F95C50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（八）供应商磋商有效期不满足竞争性磋商文件要求的；</w:t>
      </w:r>
    </w:p>
    <w:p w14:paraId="51FB23D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（九）供应商响应文件内容有与国家现行法律法规相违背的内容，或附有采购人无法接受的条件；</w:t>
      </w:r>
    </w:p>
    <w:p w14:paraId="76D5A64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法律法规</w:t>
      </w:r>
      <w:r>
        <w:rPr>
          <w:rFonts w:hint="eastAsia" w:ascii="宋体" w:hAnsi="宋体" w:eastAsia="宋体" w:cs="宋体"/>
          <w:color w:val="auto"/>
          <w:sz w:val="24"/>
          <w:szCs w:val="24"/>
          <w:highlight w:val="none"/>
        </w:rPr>
        <w:t>和竞争性磋商文件规定的其他无效情形。</w:t>
      </w:r>
    </w:p>
    <w:p w14:paraId="05927697">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177" w:name="_Toc19503"/>
      <w:bookmarkStart w:id="178" w:name="_Toc1374"/>
      <w:bookmarkStart w:id="179" w:name="_Toc8223"/>
      <w:bookmarkStart w:id="180" w:name="_Toc17615"/>
      <w:bookmarkStart w:id="181" w:name="_Toc24327"/>
      <w:bookmarkStart w:id="182" w:name="_Toc16724"/>
      <w:bookmarkStart w:id="183" w:name="_Toc10353"/>
      <w:bookmarkStart w:id="184" w:name="_Toc27631"/>
      <w:bookmarkStart w:id="185" w:name="_Toc76462336"/>
      <w:bookmarkStart w:id="186" w:name="_Toc10452"/>
      <w:bookmarkStart w:id="187" w:name="_Toc106030891"/>
      <w:bookmarkStart w:id="188" w:name="_Toc11828"/>
      <w:r>
        <w:rPr>
          <w:rFonts w:hint="eastAsia" w:ascii="宋体" w:hAnsi="宋体" w:eastAsia="宋体" w:cs="宋体"/>
          <w:b/>
          <w:color w:val="auto"/>
          <w:sz w:val="24"/>
          <w:szCs w:val="24"/>
          <w:highlight w:val="none"/>
        </w:rPr>
        <w:t>四、采购终止</w:t>
      </w:r>
      <w:bookmarkEnd w:id="177"/>
      <w:bookmarkEnd w:id="178"/>
      <w:bookmarkEnd w:id="179"/>
      <w:bookmarkEnd w:id="180"/>
      <w:bookmarkEnd w:id="181"/>
      <w:bookmarkEnd w:id="182"/>
      <w:bookmarkEnd w:id="183"/>
      <w:bookmarkEnd w:id="184"/>
      <w:bookmarkEnd w:id="185"/>
      <w:bookmarkEnd w:id="186"/>
      <w:bookmarkEnd w:id="187"/>
      <w:bookmarkEnd w:id="188"/>
    </w:p>
    <w:p w14:paraId="30693E5B">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出现下列情形之一的，采购人或者采购代理机构应当终止竞争性磋商采购活动，发布项目终止公告并说明原因，重新开展采购活动：</w:t>
      </w:r>
    </w:p>
    <w:p w14:paraId="39CC5702">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（一）因情况变化，不再符合规定的竞争性磋商采购方式适用情形的；</w:t>
      </w:r>
    </w:p>
    <w:p w14:paraId="47BE2CD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（二）出现影响采购公正的违法、违规行为的；</w:t>
      </w:r>
    </w:p>
    <w:p w14:paraId="4ACC4A0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（三）在采购过程中</w:t>
      </w:r>
      <w:r>
        <w:rPr>
          <w:rFonts w:hint="eastAsia" w:ascii="宋体" w:hAnsi="宋体" w:eastAsia="宋体" w:cs="宋体"/>
          <w:color w:val="auto"/>
          <w:sz w:val="24"/>
          <w:szCs w:val="24"/>
          <w:highlight w:val="none"/>
          <w:lang w:eastAsia="zh-CN"/>
        </w:rPr>
        <w:t>，符合要求</w:t>
      </w:r>
      <w:r>
        <w:rPr>
          <w:rFonts w:hint="eastAsia" w:ascii="宋体" w:hAnsi="宋体" w:eastAsia="宋体" w:cs="宋体"/>
          <w:color w:val="auto"/>
          <w:sz w:val="24"/>
          <w:szCs w:val="24"/>
          <w:highlight w:val="none"/>
        </w:rPr>
        <w:t>的供应商或者报价未超过采购预算的供应商不足3</w:t>
      </w:r>
      <w:r>
        <w:rPr>
          <w:rFonts w:hint="eastAsia" w:ascii="宋体" w:hAnsi="宋体" w:eastAsia="宋体" w:cs="宋体"/>
          <w:color w:val="auto"/>
          <w:sz w:val="24"/>
          <w:szCs w:val="24"/>
          <w:highlight w:val="none"/>
          <w:lang w:eastAsia="zh-CN"/>
        </w:rPr>
        <w:t>家</w:t>
      </w:r>
      <w:r>
        <w:rPr>
          <w:rFonts w:hint="eastAsia" w:ascii="宋体" w:hAnsi="宋体" w:eastAsia="宋体" w:cs="宋体"/>
          <w:color w:val="auto"/>
          <w:sz w:val="24"/>
          <w:szCs w:val="24"/>
          <w:highlight w:val="none"/>
        </w:rPr>
        <w:t>，但《政府采购竞争性磋商采购方式管理暂行办法》第二十一条第三款规定的情形除外。</w:t>
      </w:r>
    </w:p>
    <w:p w14:paraId="6624250A">
      <w:pPr>
        <w:pStyle w:val="2"/>
        <w:bidi w:val="0"/>
        <w:ind w:firstLine="480" w:firstLineChars="200"/>
        <w:rPr>
          <w:rStyle w:val="68"/>
          <w:rFonts w:hint="eastAsia" w:ascii="宋体" w:hAnsi="宋体" w:eastAsia="宋体" w:cs="宋体"/>
          <w:color w:val="auto"/>
          <w:highlight w:val="none"/>
        </w:rPr>
      </w:pPr>
      <w:r>
        <w:rPr>
          <w:rFonts w:hint="eastAsia" w:ascii="宋体" w:hAnsi="宋体" w:eastAsia="宋体" w:cs="宋体"/>
          <w:color w:val="auto"/>
          <w:sz w:val="24"/>
          <w:szCs w:val="24"/>
          <w:highlight w:val="none"/>
        </w:rPr>
        <w:br w:type="page"/>
      </w:r>
      <w:bookmarkStart w:id="189" w:name="_Toc10768"/>
      <w:bookmarkStart w:id="190" w:name="_Toc32308"/>
      <w:bookmarkStart w:id="191" w:name="_Toc29288"/>
      <w:bookmarkStart w:id="192" w:name="_Toc65660354"/>
      <w:bookmarkStart w:id="193" w:name="_Toc31476"/>
      <w:bookmarkStart w:id="194" w:name="_Toc20055"/>
      <w:r>
        <w:rPr>
          <w:rStyle w:val="68"/>
          <w:rFonts w:hint="eastAsia" w:ascii="宋体" w:hAnsi="宋体" w:eastAsia="宋体" w:cs="宋体"/>
          <w:color w:val="auto"/>
          <w:highlight w:val="none"/>
        </w:rPr>
        <w:t>第五篇  供应商须知</w:t>
      </w:r>
      <w:bookmarkEnd w:id="189"/>
      <w:bookmarkEnd w:id="190"/>
      <w:bookmarkEnd w:id="191"/>
      <w:bookmarkEnd w:id="192"/>
      <w:bookmarkEnd w:id="193"/>
      <w:bookmarkEnd w:id="194"/>
    </w:p>
    <w:p w14:paraId="5B9801C7">
      <w:pPr>
        <w:pStyle w:val="3"/>
        <w:adjustRightInd w:val="0"/>
        <w:snapToGrid w:val="0"/>
        <w:spacing w:before="0" w:after="0" w:line="400" w:lineRule="exact"/>
        <w:ind w:firstLine="482" w:firstLineChars="200"/>
        <w:jc w:val="left"/>
        <w:outlineLvl w:val="0"/>
        <w:rPr>
          <w:rFonts w:hint="eastAsia" w:ascii="宋体" w:hAnsi="宋体" w:eastAsia="宋体" w:cs="宋体"/>
          <w:b/>
          <w:bCs/>
          <w:color w:val="auto"/>
          <w:sz w:val="24"/>
          <w:szCs w:val="24"/>
          <w:highlight w:val="none"/>
        </w:rPr>
      </w:pPr>
      <w:bookmarkStart w:id="195" w:name="_Toc10474"/>
      <w:bookmarkStart w:id="196" w:name="_Toc12767"/>
      <w:bookmarkStart w:id="197" w:name="_Toc76462338"/>
      <w:bookmarkStart w:id="198" w:name="_Toc23262"/>
      <w:bookmarkStart w:id="199" w:name="_Toc106030893"/>
      <w:bookmarkStart w:id="200" w:name="_Toc1092"/>
      <w:bookmarkStart w:id="201" w:name="_Toc65660359"/>
      <w:bookmarkStart w:id="202" w:name="_Toc29821"/>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lang w:eastAsia="zh-CN"/>
        </w:rPr>
        <w:t>磋商</w:t>
      </w:r>
      <w:r>
        <w:rPr>
          <w:rFonts w:hint="eastAsia" w:ascii="宋体" w:hAnsi="宋体" w:eastAsia="宋体" w:cs="宋体"/>
          <w:b/>
          <w:color w:val="auto"/>
          <w:sz w:val="24"/>
          <w:szCs w:val="24"/>
          <w:highlight w:val="none"/>
        </w:rPr>
        <w:t>费用</w:t>
      </w:r>
      <w:bookmarkEnd w:id="195"/>
      <w:bookmarkEnd w:id="196"/>
      <w:bookmarkEnd w:id="197"/>
      <w:bookmarkEnd w:id="198"/>
      <w:bookmarkEnd w:id="199"/>
    </w:p>
    <w:p w14:paraId="4EA520B9">
      <w:pPr>
        <w:pStyle w:val="144"/>
        <w:spacing w:line="400" w:lineRule="exact"/>
        <w:ind w:firstLine="480" w:firstLineChars="200"/>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参与磋商的供应商应自行承担其编制响应文件、递交响应文件所涉及的全部费用，无论磋商结果如何，采购人在任何情况下均无义务，也无责任承担该类费用。</w:t>
      </w:r>
    </w:p>
    <w:p w14:paraId="317FB569">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203" w:name="_Toc29926"/>
      <w:bookmarkStart w:id="204" w:name="_Toc342913391"/>
      <w:bookmarkStart w:id="205" w:name="_Toc25411"/>
      <w:bookmarkStart w:id="206" w:name="_Toc24282"/>
      <w:bookmarkStart w:id="207" w:name="_Toc76462339"/>
      <w:bookmarkStart w:id="208" w:name="_Toc106030894"/>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eastAsia="zh-CN"/>
        </w:rPr>
        <w:t>竞争性磋商</w:t>
      </w:r>
      <w:r>
        <w:rPr>
          <w:rFonts w:hint="eastAsia" w:ascii="宋体" w:hAnsi="宋体" w:eastAsia="宋体" w:cs="宋体"/>
          <w:b/>
          <w:color w:val="auto"/>
          <w:sz w:val="24"/>
          <w:szCs w:val="24"/>
          <w:highlight w:val="none"/>
        </w:rPr>
        <w:t>文件</w:t>
      </w:r>
      <w:bookmarkEnd w:id="203"/>
      <w:bookmarkEnd w:id="204"/>
      <w:bookmarkEnd w:id="205"/>
      <w:bookmarkEnd w:id="206"/>
      <w:bookmarkEnd w:id="207"/>
      <w:bookmarkEnd w:id="208"/>
    </w:p>
    <w:p w14:paraId="3DBCA7E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文件由采购邀请书、项目服务需求、项目商务需求、供应商须知、</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程序及方法、评审标准、无效响应和采购</w:t>
      </w:r>
      <w:r>
        <w:rPr>
          <w:rFonts w:hint="eastAsia" w:ascii="宋体" w:hAnsi="宋体" w:eastAsia="宋体" w:cs="宋体"/>
          <w:color w:val="auto"/>
          <w:sz w:val="24"/>
          <w:szCs w:val="24"/>
          <w:highlight w:val="none"/>
          <w:lang w:eastAsia="zh-CN"/>
        </w:rPr>
        <w:t>终止</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采购合同</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响应文件编制要求</w:t>
      </w:r>
      <w:r>
        <w:rPr>
          <w:rFonts w:hint="eastAsia" w:ascii="宋体" w:hAnsi="宋体" w:cs="宋体"/>
          <w:color w:val="auto"/>
          <w:sz w:val="24"/>
          <w:szCs w:val="24"/>
          <w:highlight w:val="none"/>
          <w:lang w:eastAsia="zh-CN"/>
        </w:rPr>
        <w:t>等九</w:t>
      </w:r>
      <w:r>
        <w:rPr>
          <w:rFonts w:hint="eastAsia" w:ascii="宋体" w:hAnsi="宋体" w:eastAsia="宋体" w:cs="宋体"/>
          <w:color w:val="auto"/>
          <w:sz w:val="24"/>
          <w:szCs w:val="24"/>
          <w:highlight w:val="none"/>
        </w:rPr>
        <w:t>部分组成。</w:t>
      </w:r>
    </w:p>
    <w:p w14:paraId="3F979496">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eastAsia="zh-CN"/>
        </w:rPr>
        <w:t>采购人所发出的所有有效书面通知、修改及补充文件，均为竞争性磋商文件不可分割的组成部分。</w:t>
      </w:r>
    </w:p>
    <w:p w14:paraId="1E32E486">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文件的解释</w:t>
      </w:r>
    </w:p>
    <w:p w14:paraId="66641B8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文件有疑问，必须以书面形式在提交响应文件截止时间3个工作日前向采购人要求澄清</w:t>
      </w:r>
      <w:r>
        <w:rPr>
          <w:rFonts w:hint="eastAsia" w:ascii="宋体" w:hAnsi="宋体" w:cs="宋体"/>
          <w:color w:val="auto"/>
          <w:sz w:val="24"/>
          <w:szCs w:val="24"/>
          <w:highlight w:val="none"/>
          <w:lang w:eastAsia="zh-CN"/>
        </w:rPr>
        <w:t>。采购人可视具体情况予以处理或答复</w:t>
      </w:r>
      <w:r>
        <w:rPr>
          <w:rFonts w:hint="eastAsia" w:ascii="宋体" w:hAnsi="宋体" w:eastAsia="宋体" w:cs="宋体"/>
          <w:color w:val="auto"/>
          <w:sz w:val="24"/>
          <w:szCs w:val="24"/>
          <w:highlight w:val="none"/>
        </w:rPr>
        <w:t>。如供应商未提出疑问，视为完全理解并同意本</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文件。一经进入</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程序，即视为供应商已详细阅读全部文件资料，完全理解</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文件所有条款内容并</w:t>
      </w:r>
      <w:r>
        <w:rPr>
          <w:rFonts w:hint="eastAsia" w:ascii="宋体" w:hAnsi="宋体" w:cs="宋体"/>
          <w:color w:val="auto"/>
          <w:sz w:val="24"/>
          <w:szCs w:val="24"/>
          <w:highlight w:val="none"/>
          <w:lang w:eastAsia="zh-CN"/>
        </w:rPr>
        <w:t>同意放弃就该方面提出异议及主张误解的权利</w:t>
      </w:r>
      <w:r>
        <w:rPr>
          <w:rFonts w:hint="eastAsia" w:ascii="宋体" w:hAnsi="宋体" w:eastAsia="宋体" w:cs="宋体"/>
          <w:color w:val="auto"/>
          <w:sz w:val="24"/>
          <w:szCs w:val="24"/>
          <w:highlight w:val="none"/>
        </w:rPr>
        <w:t>。</w:t>
      </w:r>
      <w:bookmarkStart w:id="209" w:name="_Toc318159349"/>
      <w:bookmarkStart w:id="210" w:name="_Toc318166429"/>
      <w:bookmarkStart w:id="211" w:name="_Toc318159780"/>
      <w:bookmarkStart w:id="212" w:name="_Toc318159160"/>
    </w:p>
    <w:p w14:paraId="0A29D514">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文件中，</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小组根据与供应商进行</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可能实质性变动的内容</w:t>
      </w:r>
      <w:r>
        <w:rPr>
          <w:rFonts w:hint="eastAsia" w:ascii="宋体" w:hAnsi="宋体" w:eastAsia="宋体" w:cs="宋体"/>
          <w:color w:val="auto"/>
          <w:sz w:val="24"/>
          <w:szCs w:val="24"/>
          <w:highlight w:val="none"/>
          <w:lang w:eastAsia="zh-CN"/>
        </w:rPr>
        <w:t>，对</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文件第二、三、六篇全部内容</w:t>
      </w:r>
      <w:r>
        <w:rPr>
          <w:rFonts w:hint="eastAsia" w:ascii="宋体" w:hAnsi="宋体" w:eastAsia="宋体" w:cs="宋体"/>
          <w:color w:val="auto"/>
          <w:sz w:val="24"/>
          <w:szCs w:val="24"/>
          <w:highlight w:val="none"/>
          <w:lang w:eastAsia="zh-CN"/>
        </w:rPr>
        <w:t>进行调整。</w:t>
      </w:r>
    </w:p>
    <w:p w14:paraId="3BBA1114">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（五）评审的依据为</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文件和响应文件（含有效的书面承诺）。</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小组判断响应文件对</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文件的响应，</w:t>
      </w:r>
      <w:r>
        <w:rPr>
          <w:rFonts w:hint="eastAsia" w:ascii="宋体" w:hAnsi="宋体" w:cs="宋体"/>
          <w:color w:val="auto"/>
          <w:sz w:val="24"/>
          <w:szCs w:val="24"/>
          <w:highlight w:val="none"/>
          <w:lang w:eastAsia="zh-CN"/>
        </w:rPr>
        <w:t>仅以响应文件本身为依据，不依赖外部证据</w:t>
      </w:r>
      <w:r>
        <w:rPr>
          <w:rFonts w:hint="eastAsia" w:ascii="宋体" w:hAnsi="宋体" w:eastAsia="宋体" w:cs="宋体"/>
          <w:color w:val="auto"/>
          <w:sz w:val="24"/>
          <w:szCs w:val="24"/>
          <w:highlight w:val="none"/>
        </w:rPr>
        <w:t>。</w:t>
      </w:r>
    </w:p>
    <w:bookmarkEnd w:id="209"/>
    <w:bookmarkEnd w:id="210"/>
    <w:bookmarkEnd w:id="211"/>
    <w:bookmarkEnd w:id="212"/>
    <w:p w14:paraId="236738C6">
      <w:pPr>
        <w:pStyle w:val="3"/>
        <w:adjustRightInd w:val="0"/>
        <w:snapToGrid w:val="0"/>
        <w:spacing w:before="0" w:after="0" w:line="400" w:lineRule="exact"/>
        <w:ind w:firstLine="482" w:firstLineChars="200"/>
        <w:jc w:val="left"/>
        <w:outlineLvl w:val="0"/>
        <w:rPr>
          <w:rFonts w:hint="eastAsia" w:ascii="宋体" w:hAnsi="宋体" w:eastAsia="宋体" w:cs="宋体"/>
          <w:color w:val="auto"/>
          <w:sz w:val="24"/>
          <w:szCs w:val="24"/>
          <w:highlight w:val="none"/>
        </w:rPr>
      </w:pPr>
      <w:bookmarkStart w:id="213" w:name="_Toc30402"/>
      <w:bookmarkStart w:id="214" w:name="_Toc102227318"/>
      <w:bookmarkStart w:id="215" w:name="_Toc1050"/>
      <w:bookmarkStart w:id="216" w:name="_Toc342913392"/>
      <w:bookmarkStart w:id="217" w:name="_Toc179714297"/>
      <w:bookmarkStart w:id="218" w:name="_Toc106030895"/>
      <w:bookmarkStart w:id="219" w:name="_Toc76462340"/>
      <w:bookmarkStart w:id="220" w:name="_Toc18496"/>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lang w:eastAsia="zh-CN"/>
        </w:rPr>
        <w:t>磋商</w:t>
      </w:r>
      <w:r>
        <w:rPr>
          <w:rFonts w:hint="eastAsia" w:ascii="宋体" w:hAnsi="宋体" w:eastAsia="宋体" w:cs="宋体"/>
          <w:b/>
          <w:color w:val="auto"/>
          <w:sz w:val="24"/>
          <w:szCs w:val="24"/>
          <w:highlight w:val="none"/>
        </w:rPr>
        <w:t>要求</w:t>
      </w:r>
      <w:bookmarkEnd w:id="213"/>
      <w:bookmarkEnd w:id="214"/>
      <w:bookmarkEnd w:id="215"/>
      <w:bookmarkEnd w:id="216"/>
      <w:bookmarkEnd w:id="217"/>
      <w:bookmarkEnd w:id="218"/>
      <w:bookmarkEnd w:id="219"/>
      <w:bookmarkEnd w:id="220"/>
    </w:p>
    <w:p w14:paraId="1F3F9FAA">
      <w:pPr>
        <w:spacing w:line="400" w:lineRule="exact"/>
        <w:ind w:firstLine="480" w:firstLineChars="200"/>
        <w:outlineLvl w:val="1"/>
        <w:rPr>
          <w:rFonts w:hint="eastAsia" w:ascii="宋体" w:hAnsi="宋体" w:eastAsia="宋体" w:cs="宋体"/>
          <w:color w:val="auto"/>
          <w:sz w:val="24"/>
          <w:szCs w:val="24"/>
          <w:highlight w:val="none"/>
        </w:rPr>
      </w:pPr>
      <w:bookmarkStart w:id="221" w:name="_Toc19034"/>
      <w:bookmarkStart w:id="222" w:name="_Toc29684"/>
      <w:r>
        <w:rPr>
          <w:rFonts w:hint="eastAsia" w:ascii="宋体" w:hAnsi="宋体" w:eastAsia="宋体" w:cs="宋体"/>
          <w:color w:val="auto"/>
          <w:sz w:val="24"/>
          <w:szCs w:val="24"/>
          <w:highlight w:val="none"/>
        </w:rPr>
        <w:t>（一）响应文件</w:t>
      </w:r>
      <w:bookmarkEnd w:id="221"/>
      <w:bookmarkEnd w:id="222"/>
    </w:p>
    <w:p w14:paraId="6CE3471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1.供应商应当按照</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文件的要求编制响应文件，并对</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文件提出的要求和条件作出实质性响应，响应文件原则上采用软面订本，同时应编制完整的页码</w:t>
      </w:r>
      <w:r>
        <w:rPr>
          <w:rFonts w:hint="eastAsia" w:ascii="宋体" w:hAnsi="宋体" w:cs="宋体"/>
          <w:color w:val="auto"/>
          <w:sz w:val="24"/>
          <w:szCs w:val="24"/>
          <w:highlight w:val="none"/>
          <w:lang w:eastAsia="zh-CN"/>
        </w:rPr>
        <w:t>并设置</w:t>
      </w:r>
      <w:r>
        <w:rPr>
          <w:rFonts w:hint="eastAsia" w:ascii="宋体" w:hAnsi="宋体" w:eastAsia="宋体" w:cs="宋体"/>
          <w:color w:val="auto"/>
          <w:sz w:val="24"/>
          <w:szCs w:val="24"/>
          <w:highlight w:val="none"/>
        </w:rPr>
        <w:t>目录。</w:t>
      </w:r>
    </w:p>
    <w:p w14:paraId="0294307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2.响应文件组成</w:t>
      </w:r>
    </w:p>
    <w:p w14:paraId="0666F0BC">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响应文件由《第七篇 响应文件编制要求》规定的部分，以及供应商所作的全部有效补充、修改和承诺等文件组成。</w:t>
      </w:r>
      <w:r>
        <w:rPr>
          <w:rFonts w:hint="eastAsia" w:ascii="宋体" w:hAnsi="宋体" w:eastAsia="宋体" w:cs="宋体"/>
          <w:color w:val="auto"/>
          <w:sz w:val="24"/>
          <w:szCs w:val="24"/>
          <w:highlight w:val="none"/>
        </w:rPr>
        <w:t>供应商应按照</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第七篇</w:t>
      </w:r>
      <w:r>
        <w:rPr>
          <w:rFonts w:hint="eastAsia" w:ascii="宋体" w:hAnsi="宋体" w:cs="宋体"/>
          <w:color w:val="auto"/>
          <w:sz w:val="24"/>
          <w:szCs w:val="24"/>
          <w:highlight w:val="none"/>
          <w:lang w:eastAsia="zh-CN"/>
        </w:rPr>
        <w:t xml:space="preserve"> 响应</w:t>
      </w:r>
      <w:r>
        <w:rPr>
          <w:rFonts w:hint="eastAsia" w:ascii="宋体" w:hAnsi="宋体" w:eastAsia="宋体" w:cs="宋体"/>
          <w:color w:val="auto"/>
          <w:sz w:val="24"/>
          <w:szCs w:val="24"/>
          <w:highlight w:val="none"/>
        </w:rPr>
        <w:t>文件编制要求</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规定的目录顺序组织编写和装订，也可在基本格式基础上对表格进行扩展，未规定格式的由供应商自</w:t>
      </w:r>
      <w:r>
        <w:rPr>
          <w:rFonts w:hint="eastAsia" w:ascii="宋体" w:hAnsi="宋体" w:cs="宋体"/>
          <w:color w:val="auto"/>
          <w:sz w:val="24"/>
          <w:szCs w:val="24"/>
          <w:highlight w:val="none"/>
          <w:lang w:eastAsia="zh-CN"/>
        </w:rPr>
        <w:t>定</w:t>
      </w:r>
      <w:r>
        <w:rPr>
          <w:rFonts w:hint="eastAsia" w:ascii="宋体" w:hAnsi="宋体" w:eastAsia="宋体" w:cs="宋体"/>
          <w:color w:val="auto"/>
          <w:sz w:val="24"/>
          <w:szCs w:val="24"/>
          <w:highlight w:val="none"/>
        </w:rPr>
        <w:t>。</w:t>
      </w:r>
    </w:p>
    <w:p w14:paraId="47A45404">
      <w:pPr>
        <w:spacing w:line="400" w:lineRule="exact"/>
        <w:ind w:firstLine="480" w:firstLineChars="200"/>
        <w:outlineLvl w:val="1"/>
        <w:rPr>
          <w:rFonts w:hint="eastAsia" w:ascii="宋体" w:hAnsi="宋体" w:eastAsia="宋体" w:cs="宋体"/>
          <w:color w:val="auto"/>
          <w:sz w:val="24"/>
          <w:szCs w:val="24"/>
          <w:highlight w:val="none"/>
        </w:rPr>
      </w:pPr>
      <w:bookmarkStart w:id="223" w:name="_Toc27639"/>
      <w:bookmarkStart w:id="224" w:name="_Toc10590"/>
      <w:r>
        <w:rPr>
          <w:rFonts w:hint="eastAsia" w:ascii="宋体" w:hAnsi="宋体" w:eastAsia="宋体" w:cs="宋体"/>
          <w:color w:val="auto"/>
          <w:sz w:val="24"/>
          <w:szCs w:val="24"/>
          <w:highlight w:val="none"/>
        </w:rPr>
        <w:t>（二）联合体</w:t>
      </w:r>
      <w:bookmarkEnd w:id="223"/>
      <w:bookmarkEnd w:id="224"/>
    </w:p>
    <w:p w14:paraId="0515D7D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1.两个以上供应商可以组成一个联合体，以一个供应商的身份共同参与</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w:t>
      </w:r>
    </w:p>
    <w:p w14:paraId="2350AF15">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2.以联合体形式参加</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的，联合体各方均应满足供应商资格条件（详见“第一篇”）</w:t>
      </w:r>
      <w:r>
        <w:rPr>
          <w:rFonts w:hint="eastAsia" w:ascii="宋体" w:hAnsi="宋体" w:eastAsia="宋体" w:cs="宋体"/>
          <w:color w:val="auto"/>
          <w:sz w:val="24"/>
          <w:szCs w:val="24"/>
          <w:highlight w:val="none"/>
          <w:lang w:eastAsia="zh-CN"/>
        </w:rPr>
        <w:t>。联合体</w:t>
      </w:r>
      <w:r>
        <w:rPr>
          <w:rFonts w:hint="eastAsia" w:ascii="宋体" w:hAnsi="宋体" w:eastAsia="宋体" w:cs="宋体"/>
          <w:color w:val="auto"/>
          <w:sz w:val="24"/>
          <w:szCs w:val="24"/>
          <w:highlight w:val="none"/>
        </w:rPr>
        <w:t>中有同类资质的供应商按照联合体分工承担相同工作的，应当按照资质等级较低的供应商确定</w:t>
      </w:r>
      <w:r>
        <w:rPr>
          <w:rFonts w:hint="eastAsia" w:ascii="宋体" w:hAnsi="宋体" w:cs="宋体"/>
          <w:color w:val="auto"/>
          <w:sz w:val="24"/>
          <w:szCs w:val="24"/>
          <w:highlight w:val="none"/>
          <w:lang w:eastAsia="zh-CN"/>
        </w:rPr>
        <w:t>联合体的资质等级</w:t>
      </w:r>
      <w:r>
        <w:rPr>
          <w:rFonts w:hint="eastAsia" w:ascii="宋体" w:hAnsi="宋体" w:eastAsia="宋体" w:cs="宋体"/>
          <w:color w:val="auto"/>
          <w:sz w:val="24"/>
          <w:szCs w:val="24"/>
          <w:highlight w:val="none"/>
        </w:rPr>
        <w:t>。</w:t>
      </w:r>
    </w:p>
    <w:p w14:paraId="358CB1BE">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3.联合体各方之间应当</w:t>
      </w:r>
      <w:r>
        <w:rPr>
          <w:rFonts w:hint="eastAsia" w:ascii="宋体" w:hAnsi="宋体" w:eastAsia="宋体" w:cs="宋体"/>
          <w:color w:val="auto"/>
          <w:sz w:val="24"/>
          <w:szCs w:val="24"/>
          <w:highlight w:val="none"/>
          <w:lang w:eastAsia="zh-CN"/>
        </w:rPr>
        <w:t>签订</w:t>
      </w:r>
      <w:r>
        <w:rPr>
          <w:rFonts w:hint="eastAsia" w:ascii="宋体" w:hAnsi="宋体" w:eastAsia="宋体" w:cs="宋体"/>
          <w:color w:val="auto"/>
          <w:sz w:val="24"/>
          <w:szCs w:val="24"/>
          <w:highlight w:val="none"/>
        </w:rPr>
        <w:t>联合协议，</w:t>
      </w:r>
      <w:r>
        <w:rPr>
          <w:rFonts w:hint="eastAsia" w:ascii="宋体" w:hAnsi="宋体" w:cs="宋体"/>
          <w:color w:val="auto"/>
          <w:sz w:val="24"/>
          <w:szCs w:val="24"/>
          <w:highlight w:val="none"/>
          <w:lang w:eastAsia="zh-CN"/>
        </w:rPr>
        <w:t>联合协议中应确定主办方（主体），由其代表联合体参与磋商及相关澄清工作</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联合协议应明确约定联合体各方承担的工作内容、相应责任及合同金额</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eastAsia="zh-CN"/>
        </w:rPr>
        <w:t>将</w:t>
      </w:r>
      <w:r>
        <w:rPr>
          <w:rFonts w:hint="eastAsia" w:ascii="宋体" w:hAnsi="宋体" w:eastAsia="宋体" w:cs="宋体"/>
          <w:color w:val="auto"/>
          <w:sz w:val="24"/>
          <w:szCs w:val="24"/>
          <w:highlight w:val="none"/>
        </w:rPr>
        <w:t>联合协议连同响应文件一并提交采购人。</w:t>
      </w:r>
    </w:p>
    <w:p w14:paraId="79FD343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4.以联合体形式参加政府采购活动的，联合体各方不得再单独参加或者与其他供应商另外组成联合体参加同一合同项下的政府采购活动。</w:t>
      </w:r>
    </w:p>
    <w:p w14:paraId="3B6A335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eastAsia="zh-CN"/>
        </w:rPr>
        <w:t>联合体业绩计算，按照联合协议约定的分工予以认定</w:t>
      </w:r>
      <w:r>
        <w:rPr>
          <w:rFonts w:hint="eastAsia" w:ascii="宋体" w:hAnsi="宋体" w:eastAsia="宋体" w:cs="宋体"/>
          <w:color w:val="auto"/>
          <w:sz w:val="24"/>
          <w:szCs w:val="24"/>
          <w:highlight w:val="none"/>
        </w:rPr>
        <w:t>。</w:t>
      </w:r>
    </w:p>
    <w:p w14:paraId="653DB6D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两个以上的自然人、法人或者其他组织组成联合体以一个供应商身份共同参与政府采购活动的，将对联合体所有成员开展信用记录查询。</w:t>
      </w:r>
      <w:r>
        <w:rPr>
          <w:rFonts w:hint="eastAsia" w:ascii="宋体" w:hAnsi="宋体" w:eastAsia="宋体" w:cs="宋体"/>
          <w:color w:val="auto"/>
          <w:sz w:val="24"/>
          <w:szCs w:val="24"/>
          <w:highlight w:val="none"/>
        </w:rPr>
        <w:t>联合体成员存在不良信用记录的，视同联合体存在不良信用记录，将拒绝该联合体参与政府采购活动。</w:t>
      </w:r>
    </w:p>
    <w:p w14:paraId="36C86680">
      <w:pPr>
        <w:spacing w:line="400" w:lineRule="exact"/>
        <w:ind w:firstLine="480" w:firstLineChars="200"/>
        <w:outlineLvl w:val="1"/>
        <w:rPr>
          <w:rFonts w:hint="eastAsia" w:ascii="宋体" w:hAnsi="宋体" w:eastAsia="宋体" w:cs="宋体"/>
          <w:color w:val="auto"/>
          <w:sz w:val="24"/>
          <w:szCs w:val="24"/>
          <w:highlight w:val="none"/>
        </w:rPr>
      </w:pPr>
      <w:bookmarkStart w:id="225" w:name="_Toc15309"/>
      <w:bookmarkStart w:id="226" w:name="_Toc12589"/>
      <w:r>
        <w:rPr>
          <w:rFonts w:hint="eastAsia" w:ascii="宋体" w:hAnsi="宋体" w:eastAsia="宋体" w:cs="宋体"/>
          <w:color w:val="auto"/>
          <w:sz w:val="24"/>
          <w:szCs w:val="24"/>
          <w:highlight w:val="none"/>
        </w:rPr>
        <w:t>（三）</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有效期：响应文件及有关承诺文件</w:t>
      </w:r>
      <w:r>
        <w:rPr>
          <w:rFonts w:hint="eastAsia" w:ascii="宋体" w:hAnsi="宋体" w:cs="宋体"/>
          <w:color w:val="auto"/>
          <w:sz w:val="24"/>
          <w:szCs w:val="24"/>
          <w:highlight w:val="none"/>
          <w:lang w:eastAsia="zh-CN"/>
        </w:rPr>
        <w:t>的有效期自提交</w:t>
      </w:r>
      <w:r>
        <w:rPr>
          <w:rFonts w:hint="eastAsia" w:ascii="宋体" w:hAnsi="宋体" w:eastAsia="宋体" w:cs="宋体"/>
          <w:color w:val="auto"/>
          <w:sz w:val="24"/>
          <w:szCs w:val="24"/>
          <w:highlight w:val="none"/>
        </w:rPr>
        <w:t>响应文件截止时间起90天。</w:t>
      </w:r>
      <w:bookmarkEnd w:id="225"/>
      <w:bookmarkEnd w:id="226"/>
    </w:p>
    <w:p w14:paraId="4A90CC8A">
      <w:pPr>
        <w:spacing w:line="400" w:lineRule="exact"/>
        <w:ind w:firstLine="480" w:firstLineChars="200"/>
        <w:outlineLvl w:val="1"/>
        <w:rPr>
          <w:rFonts w:hint="eastAsia" w:ascii="宋体" w:hAnsi="宋体" w:eastAsia="宋体" w:cs="宋体"/>
          <w:color w:val="auto"/>
          <w:sz w:val="24"/>
          <w:szCs w:val="24"/>
          <w:highlight w:val="none"/>
        </w:rPr>
      </w:pPr>
      <w:bookmarkStart w:id="227" w:name="_Toc6074"/>
      <w:bookmarkStart w:id="228" w:name="_Toc3579"/>
      <w:r>
        <w:rPr>
          <w:rFonts w:hint="eastAsia" w:ascii="宋体" w:hAnsi="宋体" w:eastAsia="宋体" w:cs="宋体"/>
          <w:color w:val="auto"/>
          <w:sz w:val="24"/>
          <w:szCs w:val="24"/>
          <w:highlight w:val="none"/>
        </w:rPr>
        <w:t>（四）修正错误</w:t>
      </w:r>
      <w:bookmarkEnd w:id="227"/>
      <w:bookmarkEnd w:id="228"/>
    </w:p>
    <w:p w14:paraId="48225E1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1.若供应商所递交的响应文件中的价格出现大写金额和小写金额不一致的错误，以大写</w:t>
      </w:r>
      <w:r>
        <w:rPr>
          <w:rFonts w:hint="eastAsia" w:ascii="宋体" w:hAnsi="宋体" w:cs="宋体"/>
          <w:color w:val="auto"/>
          <w:sz w:val="24"/>
          <w:szCs w:val="24"/>
          <w:highlight w:val="none"/>
          <w:lang w:eastAsia="zh-CN"/>
        </w:rPr>
        <w:t>金额</w:t>
      </w:r>
      <w:r>
        <w:rPr>
          <w:rFonts w:hint="eastAsia" w:ascii="宋体" w:hAnsi="宋体" w:eastAsia="宋体" w:cs="宋体"/>
          <w:color w:val="auto"/>
          <w:sz w:val="24"/>
          <w:szCs w:val="24"/>
          <w:highlight w:val="none"/>
        </w:rPr>
        <w:t>为准。</w:t>
      </w:r>
    </w:p>
    <w:p w14:paraId="4996869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小组按上述修正错误的原则及方法修正供应商的报价</w:t>
      </w:r>
      <w:r>
        <w:rPr>
          <w:rFonts w:hint="eastAsia" w:ascii="宋体" w:hAnsi="宋体" w:eastAsia="宋体" w:cs="宋体"/>
          <w:color w:val="auto"/>
          <w:sz w:val="24"/>
          <w:szCs w:val="24"/>
          <w:highlight w:val="none"/>
          <w:lang w:eastAsia="zh-CN"/>
        </w:rPr>
        <w:t>，经</w:t>
      </w:r>
      <w:r>
        <w:rPr>
          <w:rFonts w:hint="eastAsia" w:ascii="宋体" w:hAnsi="宋体" w:eastAsia="宋体" w:cs="宋体"/>
          <w:color w:val="auto"/>
          <w:sz w:val="24"/>
          <w:szCs w:val="24"/>
          <w:highlight w:val="none"/>
        </w:rPr>
        <w:t>供应商同意并签字确认后，修正后的报价对供应商具有</w:t>
      </w:r>
      <w:r>
        <w:rPr>
          <w:rFonts w:hint="eastAsia" w:ascii="宋体" w:hAnsi="宋体" w:cs="宋体"/>
          <w:color w:val="auto"/>
          <w:sz w:val="24"/>
          <w:szCs w:val="24"/>
          <w:highlight w:val="none"/>
          <w:lang w:eastAsia="zh-CN"/>
        </w:rPr>
        <w:t>约束力</w:t>
      </w:r>
      <w:r>
        <w:rPr>
          <w:rFonts w:hint="eastAsia" w:ascii="宋体" w:hAnsi="宋体" w:eastAsia="宋体" w:cs="宋体"/>
          <w:color w:val="auto"/>
          <w:sz w:val="24"/>
          <w:szCs w:val="24"/>
          <w:highlight w:val="none"/>
        </w:rPr>
        <w:t>。如果供应商不接受修正后的价格，将失去成为成交供应商的资格。</w:t>
      </w:r>
    </w:p>
    <w:p w14:paraId="0B804F07">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229" w:name="_Toc9526"/>
      <w:bookmarkStart w:id="230" w:name="_Toc5548"/>
      <w:r>
        <w:rPr>
          <w:rFonts w:hint="eastAsia" w:ascii="宋体" w:hAnsi="宋体" w:eastAsia="宋体" w:cs="宋体"/>
          <w:color w:val="auto"/>
          <w:sz w:val="24"/>
          <w:szCs w:val="24"/>
          <w:highlight w:val="none"/>
        </w:rPr>
        <w:t>（五）提交响应文件的份数和签署</w:t>
      </w:r>
      <w:bookmarkEnd w:id="229"/>
      <w:bookmarkEnd w:id="230"/>
    </w:p>
    <w:p w14:paraId="39BE2374">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响应文件一式两份，含纸质文件一份、电子文档一份（电子文档为纸质文件签字盖章完整版的扫描件，内容须与纸质文件一致，若不一致，以纸质文件为准；推荐采用光盘或U盘作为电子文档载体）。</w:t>
      </w:r>
    </w:p>
    <w:p w14:paraId="62C5370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2.响应文件按</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第七篇</w:t>
      </w:r>
      <w:r>
        <w:rPr>
          <w:rFonts w:hint="eastAsia" w:ascii="宋体" w:hAnsi="宋体" w:cs="宋体"/>
          <w:color w:val="auto"/>
          <w:sz w:val="24"/>
          <w:szCs w:val="24"/>
          <w:highlight w:val="none"/>
          <w:lang w:eastAsia="zh-CN"/>
        </w:rPr>
        <w:t xml:space="preserve"> 响应</w:t>
      </w:r>
      <w:r>
        <w:rPr>
          <w:rFonts w:hint="eastAsia" w:ascii="宋体" w:hAnsi="宋体" w:eastAsia="宋体" w:cs="宋体"/>
          <w:color w:val="auto"/>
          <w:sz w:val="24"/>
          <w:szCs w:val="24"/>
          <w:highlight w:val="none"/>
        </w:rPr>
        <w:t>文件编制要求</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要求签署或盖章。</w:t>
      </w:r>
    </w:p>
    <w:p w14:paraId="5978543D">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231" w:name="_Toc31228"/>
      <w:bookmarkStart w:id="232" w:name="_Toc18474"/>
      <w:r>
        <w:rPr>
          <w:rFonts w:hint="eastAsia" w:ascii="宋体" w:hAnsi="宋体" w:eastAsia="宋体" w:cs="宋体"/>
          <w:color w:val="auto"/>
          <w:sz w:val="24"/>
          <w:szCs w:val="24"/>
          <w:highlight w:val="none"/>
        </w:rPr>
        <w:t>（六）响应文件的递交</w:t>
      </w:r>
      <w:bookmarkEnd w:id="231"/>
      <w:bookmarkEnd w:id="232"/>
    </w:p>
    <w:p w14:paraId="786CAE26">
      <w:pPr>
        <w:pStyle w:val="30"/>
        <w:spacing w:line="400" w:lineRule="exact"/>
        <w:ind w:firstLine="480" w:firstLineChars="200"/>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响应文件的纸质文件及电子文档均须密封送达指定磋商地点，并在封套上注明磋商项目名称、供应商名称。</w:t>
      </w:r>
    </w:p>
    <w:p w14:paraId="786DC6A2">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233" w:name="_Toc6612"/>
      <w:bookmarkStart w:id="234" w:name="_Toc12161"/>
      <w:r>
        <w:rPr>
          <w:rFonts w:hint="eastAsia" w:ascii="宋体" w:hAnsi="宋体" w:eastAsia="宋体" w:cs="宋体"/>
          <w:color w:val="auto"/>
          <w:sz w:val="24"/>
          <w:szCs w:val="24"/>
          <w:highlight w:val="none"/>
        </w:rPr>
        <w:t>（七）供应商参与人员</w:t>
      </w:r>
      <w:bookmarkEnd w:id="233"/>
      <w:bookmarkEnd w:id="234"/>
    </w:p>
    <w:p w14:paraId="731CC04B">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各供应商应当派1-2名代表参与磋商，其中至少1人应为法定代表人（或其授权代表）；若供应商为自然人，则由该自然人本人参与。</w:t>
      </w:r>
    </w:p>
    <w:p w14:paraId="38B3D11F">
      <w:pPr>
        <w:pStyle w:val="3"/>
        <w:adjustRightInd w:val="0"/>
        <w:snapToGrid w:val="0"/>
        <w:spacing w:before="0" w:after="0" w:line="400" w:lineRule="exact"/>
        <w:ind w:firstLine="482" w:firstLineChars="200"/>
        <w:jc w:val="left"/>
        <w:outlineLvl w:val="0"/>
        <w:rPr>
          <w:rFonts w:hint="eastAsia" w:ascii="宋体" w:hAnsi="宋体" w:eastAsia="宋体" w:cs="宋体"/>
          <w:b/>
          <w:bCs/>
          <w:color w:val="auto"/>
          <w:sz w:val="24"/>
          <w:szCs w:val="24"/>
          <w:highlight w:val="none"/>
        </w:rPr>
      </w:pPr>
      <w:bookmarkStart w:id="235" w:name="_Toc106030896"/>
      <w:bookmarkStart w:id="236" w:name="_Toc22310"/>
      <w:bookmarkStart w:id="237" w:name="_Toc76462341"/>
      <w:bookmarkStart w:id="238" w:name="_Toc12692"/>
      <w:bookmarkStart w:id="239" w:name="_Toc25286"/>
      <w:r>
        <w:rPr>
          <w:rFonts w:hint="eastAsia" w:ascii="宋体" w:hAnsi="宋体" w:eastAsia="宋体" w:cs="宋体"/>
          <w:b/>
          <w:color w:val="auto"/>
          <w:sz w:val="24"/>
          <w:szCs w:val="24"/>
          <w:highlight w:val="none"/>
        </w:rPr>
        <w:t>四、成交供应商的确认和变更</w:t>
      </w:r>
      <w:bookmarkEnd w:id="235"/>
      <w:bookmarkEnd w:id="236"/>
      <w:bookmarkEnd w:id="237"/>
      <w:bookmarkEnd w:id="238"/>
      <w:bookmarkEnd w:id="239"/>
    </w:p>
    <w:p w14:paraId="5A5F3E27">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240" w:name="_Toc32528"/>
      <w:bookmarkStart w:id="241" w:name="_Toc18690"/>
      <w:r>
        <w:rPr>
          <w:rFonts w:hint="eastAsia" w:ascii="宋体" w:hAnsi="宋体" w:eastAsia="宋体" w:cs="宋体"/>
          <w:color w:val="auto"/>
          <w:sz w:val="24"/>
          <w:szCs w:val="24"/>
          <w:highlight w:val="none"/>
        </w:rPr>
        <w:t>（一）成交供应商的确认</w:t>
      </w:r>
      <w:bookmarkEnd w:id="240"/>
      <w:bookmarkEnd w:id="241"/>
    </w:p>
    <w:p w14:paraId="0B63392F">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根据《中华人民共和国政府采购法实施条例》第四十三条规定，采购人应当自收到评审报告之日起5个工作日内，从评审报告提出的成交候选供应商中，按照由高到低的排序原则确定成交供应商，也可以书面授权磋商小组直接确定成交供应商。根据《政府采购货物和服务招标投标管理办法》第六十八条第四款规定，采购人逾期未确定成交供应商且不提出异议的，视为确定评审报告提出的排序第一的供应商为成交供应商。</w:t>
      </w:r>
    </w:p>
    <w:p w14:paraId="22F932EA">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242" w:name="_Toc6135"/>
      <w:bookmarkStart w:id="243" w:name="_Toc1123"/>
      <w:r>
        <w:rPr>
          <w:rFonts w:hint="eastAsia" w:ascii="宋体" w:hAnsi="宋体" w:eastAsia="宋体" w:cs="宋体"/>
          <w:color w:val="auto"/>
          <w:sz w:val="24"/>
          <w:szCs w:val="24"/>
          <w:highlight w:val="none"/>
        </w:rPr>
        <w:t>（二）成交供应商的变更</w:t>
      </w:r>
      <w:bookmarkEnd w:id="242"/>
      <w:bookmarkEnd w:id="243"/>
    </w:p>
    <w:p w14:paraId="3CFCB48A">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成交供应商拒绝与采购人签订合同的，采购人可以按照评审报告推荐的成交候选供应商名单排序，确定下一候选人为成交供应商，也可以重新开展政府采购活动。此外，对无正当理由拒签合同的供应商，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B798798">
      <w:pPr>
        <w:pStyle w:val="3"/>
        <w:adjustRightInd w:val="0"/>
        <w:snapToGrid w:val="0"/>
        <w:spacing w:before="0" w:after="0" w:line="400" w:lineRule="exact"/>
        <w:ind w:firstLine="482" w:firstLineChars="200"/>
        <w:jc w:val="left"/>
        <w:outlineLvl w:val="0"/>
        <w:rPr>
          <w:rFonts w:hint="eastAsia" w:ascii="宋体" w:hAnsi="宋体" w:eastAsia="宋体" w:cs="宋体"/>
          <w:b/>
          <w:bCs/>
          <w:color w:val="auto"/>
          <w:sz w:val="24"/>
          <w:szCs w:val="24"/>
          <w:highlight w:val="none"/>
        </w:rPr>
      </w:pPr>
      <w:bookmarkStart w:id="244" w:name="_Toc26405"/>
      <w:bookmarkStart w:id="245" w:name="_Toc4764"/>
      <w:bookmarkStart w:id="246" w:name="_Toc24779"/>
      <w:r>
        <w:rPr>
          <w:rFonts w:hint="eastAsia" w:ascii="宋体" w:hAnsi="宋体" w:eastAsia="宋体" w:cs="宋体"/>
          <w:b/>
          <w:color w:val="auto"/>
          <w:sz w:val="24"/>
          <w:szCs w:val="24"/>
          <w:highlight w:val="none"/>
        </w:rPr>
        <w:t>五、成交通知</w:t>
      </w:r>
      <w:bookmarkEnd w:id="200"/>
      <w:bookmarkEnd w:id="201"/>
      <w:bookmarkEnd w:id="202"/>
      <w:bookmarkEnd w:id="244"/>
      <w:bookmarkEnd w:id="245"/>
      <w:bookmarkEnd w:id="246"/>
    </w:p>
    <w:p w14:paraId="7FA3D344">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（一）成交供应商确定后，</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rPr>
        <w:t>将在</w:t>
      </w:r>
      <w:r>
        <w:rPr>
          <w:rFonts w:hint="eastAsia" w:ascii="宋体" w:hAnsi="宋体" w:eastAsia="宋体" w:cs="宋体"/>
          <w:color w:val="auto"/>
          <w:sz w:val="24"/>
          <w:szCs w:val="24"/>
          <w:highlight w:val="none"/>
          <w:lang w:eastAsia="zh-CN"/>
        </w:rPr>
        <w:t>巫山县中医院</w:t>
      </w:r>
      <w:r>
        <w:rPr>
          <w:rFonts w:hint="eastAsia" w:ascii="宋体" w:hAnsi="宋体" w:eastAsia="宋体" w:cs="宋体"/>
          <w:color w:val="auto"/>
          <w:sz w:val="24"/>
          <w:szCs w:val="24"/>
          <w:highlight w:val="none"/>
        </w:rPr>
        <w:t>官网（</w:t>
      </w:r>
      <w:r>
        <w:rPr>
          <w:rFonts w:hint="eastAsia" w:ascii="宋体" w:hAnsi="宋体" w:eastAsia="宋体" w:cs="宋体"/>
          <w:color w:val="auto"/>
          <w:sz w:val="24"/>
          <w:szCs w:val="24"/>
          <w:highlight w:val="none"/>
          <w:lang w:eastAsia="zh-CN"/>
        </w:rPr>
        <w:t>http://gw.cqwsxzyy.cn</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上发布成交结果公告。</w:t>
      </w:r>
    </w:p>
    <w:p w14:paraId="442F335F">
      <w:pPr>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（二）结果公告发出同时，采购</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将以书面形式发出《成交通知书》。</w:t>
      </w:r>
      <w:r>
        <w:rPr>
          <w:rFonts w:hint="eastAsia" w:ascii="宋体" w:hAnsi="宋体" w:cs="宋体"/>
          <w:color w:val="auto"/>
          <w:sz w:val="24"/>
          <w:szCs w:val="24"/>
          <w:highlight w:val="none"/>
          <w:lang w:eastAsia="zh-CN"/>
        </w:rPr>
        <w:t>《成交通知书》一经发出即发生法律效力。根据《中华人民共和国政府采购法》第四十六条规定，成交通知书对采购人和成交供应商均具有法律效力，成交通知书发出后，采购人改变成交结果的，或者成交供应商放弃成交项目的，应当依法承担法律责任。</w:t>
      </w:r>
    </w:p>
    <w:p w14:paraId="6495DB18">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（三）《成交通知书》将作为签订合同的依据。</w:t>
      </w:r>
    </w:p>
    <w:p w14:paraId="434B424C">
      <w:pPr>
        <w:pStyle w:val="3"/>
        <w:adjustRightInd w:val="0"/>
        <w:snapToGrid w:val="0"/>
        <w:spacing w:before="0" w:after="0" w:line="400" w:lineRule="exact"/>
        <w:ind w:firstLine="482" w:firstLineChars="200"/>
        <w:jc w:val="left"/>
        <w:outlineLvl w:val="0"/>
        <w:rPr>
          <w:rFonts w:hint="eastAsia" w:ascii="宋体" w:hAnsi="宋体" w:eastAsia="宋体" w:cs="宋体"/>
          <w:b/>
          <w:bCs/>
          <w:color w:val="auto"/>
          <w:sz w:val="24"/>
          <w:szCs w:val="24"/>
          <w:highlight w:val="none"/>
        </w:rPr>
      </w:pPr>
      <w:bookmarkStart w:id="247" w:name="_Toc1010"/>
      <w:bookmarkStart w:id="248" w:name="_Toc17636"/>
      <w:bookmarkStart w:id="249" w:name="_Toc65660360"/>
      <w:bookmarkStart w:id="250" w:name="_Toc30909"/>
      <w:bookmarkStart w:id="251" w:name="_Toc3432"/>
      <w:bookmarkStart w:id="252" w:name="_Toc26847"/>
      <w:r>
        <w:rPr>
          <w:rFonts w:hint="eastAsia" w:ascii="宋体" w:hAnsi="宋体" w:eastAsia="宋体" w:cs="宋体"/>
          <w:b/>
          <w:color w:val="auto"/>
          <w:sz w:val="24"/>
          <w:szCs w:val="24"/>
          <w:highlight w:val="none"/>
        </w:rPr>
        <w:t>六、关于质疑</w:t>
      </w:r>
      <w:bookmarkEnd w:id="247"/>
      <w:bookmarkEnd w:id="248"/>
      <w:bookmarkEnd w:id="249"/>
      <w:bookmarkEnd w:id="250"/>
      <w:bookmarkEnd w:id="251"/>
      <w:bookmarkEnd w:id="252"/>
    </w:p>
    <w:p w14:paraId="33F95189">
      <w:pPr>
        <w:spacing w:line="400" w:lineRule="exact"/>
        <w:ind w:firstLine="480" w:firstLineChars="200"/>
        <w:outlineLvl w:val="1"/>
        <w:rPr>
          <w:rFonts w:hint="eastAsia" w:ascii="宋体" w:hAnsi="宋体" w:eastAsia="宋体" w:cs="宋体"/>
          <w:color w:val="auto"/>
          <w:sz w:val="24"/>
          <w:szCs w:val="24"/>
          <w:highlight w:val="none"/>
        </w:rPr>
      </w:pPr>
      <w:bookmarkStart w:id="253" w:name="_Toc32205"/>
      <w:bookmarkStart w:id="254" w:name="_Toc7970"/>
      <w:r>
        <w:rPr>
          <w:rFonts w:hint="eastAsia" w:ascii="宋体" w:hAnsi="宋体" w:eastAsia="宋体" w:cs="宋体"/>
          <w:color w:val="auto"/>
          <w:sz w:val="24"/>
          <w:szCs w:val="24"/>
          <w:highlight w:val="none"/>
        </w:rPr>
        <w:t>（一）质疑</w:t>
      </w:r>
      <w:bookmarkEnd w:id="253"/>
      <w:bookmarkEnd w:id="254"/>
    </w:p>
    <w:p w14:paraId="506950BC">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供应商认为采购文件、采购过程和成交结果使自己的权益</w:t>
      </w:r>
      <w:r>
        <w:rPr>
          <w:rFonts w:hint="eastAsia" w:ascii="宋体" w:hAnsi="宋体" w:eastAsia="宋体" w:cs="宋体"/>
          <w:color w:val="auto"/>
          <w:sz w:val="24"/>
          <w:szCs w:val="24"/>
          <w:highlight w:val="none"/>
          <w:lang w:eastAsia="zh-CN"/>
        </w:rPr>
        <w:t>受到损害</w:t>
      </w:r>
      <w:r>
        <w:rPr>
          <w:rFonts w:hint="eastAsia" w:ascii="宋体" w:hAnsi="宋体" w:eastAsia="宋体" w:cs="宋体"/>
          <w:color w:val="auto"/>
          <w:sz w:val="24"/>
          <w:szCs w:val="24"/>
          <w:highlight w:val="none"/>
        </w:rPr>
        <w:t>的，可向采购人以书面形式</w:t>
      </w:r>
      <w:r>
        <w:rPr>
          <w:rFonts w:hint="eastAsia" w:ascii="宋体" w:hAnsi="宋体" w:cs="宋体"/>
          <w:color w:val="auto"/>
          <w:sz w:val="24"/>
          <w:szCs w:val="24"/>
          <w:highlight w:val="none"/>
          <w:lang w:eastAsia="zh-CN"/>
        </w:rPr>
        <w:t>质疑</w:t>
      </w:r>
      <w:r>
        <w:rPr>
          <w:rFonts w:hint="eastAsia" w:ascii="宋体" w:hAnsi="宋体" w:eastAsia="宋体" w:cs="宋体"/>
          <w:color w:val="auto"/>
          <w:sz w:val="24"/>
          <w:szCs w:val="24"/>
          <w:highlight w:val="none"/>
        </w:rPr>
        <w:t>。</w:t>
      </w:r>
    </w:p>
    <w:p w14:paraId="5569D0E6">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提出质疑的应当是参与所质疑项目采购活动的供应商。 </w:t>
      </w:r>
    </w:p>
    <w:p w14:paraId="1F74A038">
      <w:pPr>
        <w:spacing w:line="400" w:lineRule="exact"/>
        <w:ind w:right="12" w:rightChars="0"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1.质疑时限、内容</w:t>
      </w:r>
    </w:p>
    <w:p w14:paraId="6DFDE60C">
      <w:pPr>
        <w:spacing w:line="400" w:lineRule="exact"/>
        <w:ind w:right="12"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w:t>
      </w:r>
      <w:r>
        <w:rPr>
          <w:rFonts w:hint="eastAsia" w:ascii="宋体" w:hAnsi="宋体" w:cs="宋体"/>
          <w:color w:val="auto"/>
          <w:sz w:val="24"/>
          <w:szCs w:val="24"/>
          <w:highlight w:val="none"/>
          <w:lang w:eastAsia="zh-CN"/>
        </w:rPr>
        <w:t>供应商认为采购文件、采购过程或成交结果损害自身权益的，可在知道或者应知其权益受到损害之日起7个工作日内，以书面形式向采购人提出质疑。</w:t>
      </w:r>
    </w:p>
    <w:p w14:paraId="51EB21DE">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1.2供应商提出质疑应当提交质疑函和必要的证明材料，质疑函应当包括下列内容：</w:t>
      </w:r>
    </w:p>
    <w:p w14:paraId="4088D543">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1.2.1供应商的姓名或者名称、地址、邮编、联系人及联系电话；</w:t>
      </w:r>
    </w:p>
    <w:p w14:paraId="10E3DEB8">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1.2.2质疑项目的项目名称；</w:t>
      </w:r>
    </w:p>
    <w:p w14:paraId="4A049BA9">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1.2.3具体、明确的质疑事项和与质疑事项相关的请求；</w:t>
      </w:r>
    </w:p>
    <w:p w14:paraId="4B5D8F35">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1.2.4事实依据；</w:t>
      </w:r>
    </w:p>
    <w:p w14:paraId="22104878">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1.2.5必要的法律依据；</w:t>
      </w:r>
    </w:p>
    <w:p w14:paraId="211E1FCD">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1.2.6提出质疑的日期；</w:t>
      </w:r>
    </w:p>
    <w:p w14:paraId="14EC9509">
      <w:pPr>
        <w:spacing w:line="400" w:lineRule="exact"/>
        <w:ind w:right="12"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1.2.7营业执照（或事业单位法人证书、个体工商户营业执照，或有效的自然人身份证明）复印件；</w:t>
      </w:r>
    </w:p>
    <w:p w14:paraId="29C53713">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1.2.8法定代表人授权委托书原件、法定代表人身份证复印件和其授权代表的身份证复印件（供应商为自然人的提供自然人身份证复印件）；</w:t>
      </w:r>
    </w:p>
    <w:p w14:paraId="3F6F7B65">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1.3供应商为自然人的，质疑函应当由本人签字；供应商为法人或者其他组织的，质疑函应当由法定代表人、主要负责人或者其授权代表签字或者盖章，并加盖公章。</w:t>
      </w:r>
    </w:p>
    <w:p w14:paraId="2271F283">
      <w:pPr>
        <w:spacing w:line="400" w:lineRule="exact"/>
        <w:ind w:right="12" w:rightChars="0"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2.质疑答复</w:t>
      </w:r>
    </w:p>
    <w:p w14:paraId="0BEBD3F5">
      <w:pPr>
        <w:spacing w:line="400" w:lineRule="exact"/>
        <w:ind w:right="12"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根据《政府采购质疑和投诉办法》（财政部令第94号）第十三条规定，采购人应当在收到供应商的书面质疑后七个工作日内作出答复，并以书面形式通知质疑供应商和其他有关供应商。</w:t>
      </w:r>
    </w:p>
    <w:p w14:paraId="2F3F960A">
      <w:pPr>
        <w:spacing w:line="400" w:lineRule="exact"/>
        <w:ind w:right="12" w:rightChars="0"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w:t>
      </w:r>
    </w:p>
    <w:p w14:paraId="2BAFF20F">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3.1供应商应按照《政府采购质疑和投诉办法》（财政部令第94号）及相关法律法规要求，在法定质疑期内一次性提出针对同一采购程序环节的质疑。</w:t>
      </w:r>
    </w:p>
    <w:p w14:paraId="18B620D1">
      <w:pPr>
        <w:spacing w:line="400" w:lineRule="exact"/>
        <w:ind w:right="1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3.2质疑函范本可在财政</w:t>
      </w:r>
      <w:r>
        <w:rPr>
          <w:rFonts w:hint="eastAsia" w:ascii="宋体" w:hAnsi="宋体" w:cs="宋体"/>
          <w:color w:val="auto"/>
          <w:sz w:val="24"/>
          <w:szCs w:val="24"/>
          <w:highlight w:val="none"/>
          <w:lang w:eastAsia="zh-CN"/>
        </w:rPr>
        <w:t>部门</w:t>
      </w:r>
      <w:r>
        <w:rPr>
          <w:rFonts w:hint="eastAsia" w:ascii="宋体" w:hAnsi="宋体" w:eastAsia="宋体" w:cs="宋体"/>
          <w:color w:val="auto"/>
          <w:sz w:val="24"/>
          <w:szCs w:val="24"/>
          <w:highlight w:val="none"/>
          <w:lang w:eastAsia="zh-CN"/>
        </w:rPr>
        <w:t>户网站</w:t>
      </w:r>
      <w:r>
        <w:rPr>
          <w:rFonts w:hint="eastAsia" w:ascii="宋体" w:hAnsi="宋体" w:eastAsia="宋体" w:cs="宋体"/>
          <w:color w:val="auto"/>
          <w:sz w:val="24"/>
          <w:szCs w:val="24"/>
          <w:highlight w:val="none"/>
        </w:rPr>
        <w:t>和中国政府采购网下载。</w:t>
      </w:r>
    </w:p>
    <w:p w14:paraId="1539CD3E">
      <w:pPr>
        <w:pStyle w:val="3"/>
        <w:adjustRightInd w:val="0"/>
        <w:snapToGrid w:val="0"/>
        <w:spacing w:before="0" w:after="0" w:line="400" w:lineRule="exact"/>
        <w:ind w:firstLine="482" w:firstLineChars="200"/>
        <w:jc w:val="left"/>
        <w:outlineLvl w:val="0"/>
        <w:rPr>
          <w:rFonts w:hint="eastAsia" w:ascii="宋体" w:hAnsi="宋体" w:eastAsia="宋体" w:cs="宋体"/>
          <w:b/>
          <w:bCs/>
          <w:color w:val="auto"/>
          <w:sz w:val="24"/>
          <w:szCs w:val="24"/>
          <w:highlight w:val="none"/>
        </w:rPr>
      </w:pPr>
      <w:bookmarkStart w:id="255" w:name="_Toc23989"/>
      <w:bookmarkStart w:id="256" w:name="_Toc3145"/>
      <w:bookmarkStart w:id="257" w:name="_Toc16648"/>
      <w:bookmarkStart w:id="258" w:name="_Toc65660361"/>
      <w:bookmarkStart w:id="259" w:name="_Toc3127"/>
      <w:bookmarkStart w:id="260" w:name="_Toc164"/>
      <w:r>
        <w:rPr>
          <w:rFonts w:hint="eastAsia" w:ascii="宋体" w:hAnsi="宋体" w:eastAsia="宋体" w:cs="宋体"/>
          <w:b/>
          <w:color w:val="auto"/>
          <w:sz w:val="24"/>
          <w:szCs w:val="24"/>
          <w:highlight w:val="none"/>
        </w:rPr>
        <w:t>七、签订合同</w:t>
      </w:r>
      <w:bookmarkEnd w:id="255"/>
      <w:bookmarkEnd w:id="256"/>
      <w:bookmarkEnd w:id="257"/>
      <w:bookmarkEnd w:id="258"/>
      <w:bookmarkEnd w:id="259"/>
      <w:bookmarkEnd w:id="260"/>
    </w:p>
    <w:p w14:paraId="66D01AB4">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采购人原则上应在成交通知书发出之日起三十日内和成交供应商签订采购合同，无正当理由不得拒绝或拖延合同签订。根据《中华人民共和国政府采购法》第四十六条规定，中标、成交通知书对采购人和中标、成交供应商均具有法律效力，中标、成交通知书发出后，采购人改变中标、成交结果的，或者中标、成交供应商放弃中标、成交项目的，应当依法承担法律责任。</w:t>
      </w:r>
      <w:r>
        <w:rPr>
          <w:rFonts w:hint="eastAsia" w:ascii="宋体" w:hAnsi="宋体" w:eastAsia="宋体" w:cs="宋体"/>
          <w:color w:val="auto"/>
          <w:sz w:val="24"/>
          <w:szCs w:val="24"/>
          <w:highlight w:val="none"/>
        </w:rPr>
        <w:t>所签订的合同不得对</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文件和供应商的响应文件作实质性修改。其他未尽事宜由采购人和成交供应商在采购合同中详细约定。</w:t>
      </w:r>
    </w:p>
    <w:p w14:paraId="6C773FF8">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261" w:name="_Toc22339"/>
      <w:bookmarkStart w:id="262" w:name="_Toc6112"/>
      <w:bookmarkStart w:id="263" w:name="_Toc728"/>
      <w:r>
        <w:rPr>
          <w:rFonts w:hint="eastAsia" w:ascii="宋体" w:hAnsi="宋体" w:eastAsia="宋体" w:cs="宋体"/>
          <w:b/>
          <w:color w:val="auto"/>
          <w:sz w:val="24"/>
          <w:szCs w:val="24"/>
          <w:highlight w:val="none"/>
        </w:rPr>
        <w:t>八、项目验收</w:t>
      </w:r>
      <w:bookmarkEnd w:id="261"/>
      <w:bookmarkEnd w:id="262"/>
      <w:bookmarkEnd w:id="263"/>
    </w:p>
    <w:p w14:paraId="15A88792">
      <w:pPr>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合同执行完毕，采购人原则上应在收到供应商项目验收建议之日起7个工作日内组织履约情况验收，不得无故拖延或附加额外条件。采购人可组织验收小组或委托专业机构对履约结果进行验收和评估，验收完成后，验收方成员应当在验收书上签字，并承担相应的法律责任。此外，不同类型项目验收时间要求有所区别：对技术要求较高的或非标产品，应在供应商提交货物之日起7日内组织验收；独立工程（包括设备安装调试）项目，需在供应商提交竣工报告之日起15日内组织验收；服务类项目可根据项目特点分期考核后验收。</w:t>
      </w:r>
    </w:p>
    <w:bookmarkEnd w:id="132"/>
    <w:p w14:paraId="4A4CFBA7">
      <w:pPr>
        <w:pStyle w:val="2"/>
        <w:bidi w:val="0"/>
        <w:ind w:firstLine="482" w:firstLineChars="200"/>
        <w:rPr>
          <w:rStyle w:val="68"/>
          <w:rFonts w:hint="eastAsia" w:ascii="宋体" w:hAnsi="宋体" w:eastAsia="宋体" w:cs="宋体"/>
          <w:color w:val="auto"/>
          <w:highlight w:val="none"/>
        </w:rPr>
      </w:pPr>
      <w:bookmarkStart w:id="264" w:name="_Toc12789059"/>
      <w:bookmarkStart w:id="265" w:name="_Toc11641055"/>
      <w:bookmarkStart w:id="266" w:name="_Toc28162"/>
      <w:bookmarkStart w:id="267" w:name="_Toc14861"/>
      <w:bookmarkStart w:id="268" w:name="_Toc65660365"/>
      <w:r>
        <w:rPr>
          <w:rFonts w:hint="eastAsia" w:ascii="宋体" w:hAnsi="宋体" w:eastAsia="宋体" w:cs="宋体"/>
          <w:b/>
          <w:color w:val="auto"/>
          <w:sz w:val="24"/>
          <w:szCs w:val="24"/>
          <w:highlight w:val="none"/>
        </w:rPr>
        <w:br w:type="page"/>
      </w:r>
      <w:bookmarkStart w:id="269" w:name="_Toc8719"/>
      <w:bookmarkStart w:id="270" w:name="_Toc3520"/>
      <w:bookmarkStart w:id="271" w:name="_Toc14742"/>
      <w:r>
        <w:rPr>
          <w:rStyle w:val="68"/>
          <w:rFonts w:hint="eastAsia" w:ascii="宋体" w:hAnsi="宋体" w:eastAsia="宋体" w:cs="宋体"/>
          <w:color w:val="auto"/>
          <w:highlight w:val="none"/>
        </w:rPr>
        <w:t xml:space="preserve">第六篇  </w:t>
      </w:r>
      <w:bookmarkEnd w:id="264"/>
      <w:bookmarkEnd w:id="265"/>
      <w:r>
        <w:rPr>
          <w:rStyle w:val="68"/>
          <w:rFonts w:hint="eastAsia" w:ascii="宋体" w:hAnsi="宋体" w:eastAsia="宋体" w:cs="宋体"/>
          <w:color w:val="auto"/>
          <w:highlight w:val="none"/>
        </w:rPr>
        <w:t>合同草案条款</w:t>
      </w:r>
      <w:bookmarkEnd w:id="266"/>
      <w:bookmarkEnd w:id="267"/>
      <w:bookmarkEnd w:id="268"/>
      <w:bookmarkEnd w:id="269"/>
      <w:bookmarkEnd w:id="270"/>
      <w:bookmarkEnd w:id="271"/>
    </w:p>
    <w:p w14:paraId="730B66E5">
      <w:pPr>
        <w:rPr>
          <w:rFonts w:hint="eastAsia" w:ascii="宋体" w:hAnsi="宋体" w:eastAsia="宋体" w:cs="宋体"/>
          <w:color w:val="auto"/>
          <w:highlight w:val="none"/>
          <w:lang w:val="en-US" w:eastAsia="zh-CN"/>
        </w:rPr>
      </w:pPr>
    </w:p>
    <w:p w14:paraId="460BB5D0">
      <w:pPr>
        <w:keepNext w:val="0"/>
        <w:keepLines w:val="0"/>
        <w:pageBreakBefore w:val="0"/>
        <w:widowControl w:val="0"/>
        <w:kinsoku/>
        <w:wordWrap/>
        <w:overflowPunct/>
        <w:topLinePunct w:val="0"/>
        <w:autoSpaceDE/>
        <w:autoSpaceDN/>
        <w:bidi w:val="0"/>
        <w:snapToGrid/>
        <w:spacing w:line="400" w:lineRule="exact"/>
        <w:ind w:firstLine="723" w:firstLineChars="200"/>
        <w:jc w:val="center"/>
        <w:outlineLvl w:val="0"/>
        <w:rPr>
          <w:rFonts w:hint="default"/>
          <w:b/>
          <w:bCs w:val="0"/>
          <w:color w:val="auto"/>
          <w:highlight w:val="none"/>
          <w:lang w:val="en-US" w:eastAsia="zh-CN"/>
        </w:rPr>
      </w:pPr>
      <w:bookmarkStart w:id="272" w:name="_Toc2597"/>
      <w:bookmarkStart w:id="273" w:name="_Toc17656"/>
      <w:r>
        <w:rPr>
          <w:rFonts w:hint="eastAsia" w:ascii="宋体" w:hAnsi="宋体" w:cs="宋体"/>
          <w:b/>
          <w:bCs w:val="0"/>
          <w:color w:val="auto"/>
          <w:kern w:val="0"/>
          <w:sz w:val="36"/>
          <w:szCs w:val="36"/>
          <w:highlight w:val="none"/>
          <w:lang w:val="en-US" w:eastAsia="zh-CN"/>
        </w:rPr>
        <w:t>巫山县中医院陪</w:t>
      </w:r>
      <w:r>
        <w:rPr>
          <w:rFonts w:hint="eastAsia" w:ascii="宋体" w:hAnsi="宋体" w:cs="宋体"/>
          <w:b/>
          <w:bCs w:val="0"/>
          <w:color w:val="auto"/>
          <w:kern w:val="0"/>
          <w:sz w:val="36"/>
          <w:szCs w:val="36"/>
          <w:highlight w:val="none"/>
          <w:lang w:eastAsia="zh-CN"/>
        </w:rPr>
        <w:t>护支持中心</w:t>
      </w:r>
      <w:r>
        <w:rPr>
          <w:rFonts w:hint="eastAsia" w:ascii="宋体" w:hAnsi="宋体" w:cs="宋体"/>
          <w:b/>
          <w:bCs w:val="0"/>
          <w:color w:val="auto"/>
          <w:kern w:val="0"/>
          <w:sz w:val="36"/>
          <w:szCs w:val="36"/>
          <w:highlight w:val="none"/>
          <w:lang w:val="en-US" w:eastAsia="zh-CN"/>
        </w:rPr>
        <w:t>服务</w:t>
      </w:r>
      <w:r>
        <w:rPr>
          <w:rFonts w:hint="eastAsia" w:ascii="宋体" w:hAnsi="宋体" w:cs="宋体"/>
          <w:b/>
          <w:bCs w:val="0"/>
          <w:color w:val="auto"/>
          <w:kern w:val="0"/>
          <w:sz w:val="36"/>
          <w:szCs w:val="36"/>
          <w:highlight w:val="none"/>
          <w:lang w:eastAsia="zh-CN"/>
        </w:rPr>
        <w:t>合同</w:t>
      </w:r>
      <w:bookmarkEnd w:id="272"/>
      <w:bookmarkEnd w:id="273"/>
    </w:p>
    <w:p w14:paraId="2CCB4563">
      <w:pPr>
        <w:pStyle w:val="22"/>
        <w:keepNext w:val="0"/>
        <w:keepLines w:val="0"/>
        <w:pageBreakBefore w:val="0"/>
        <w:widowControl w:val="0"/>
        <w:kinsoku/>
        <w:wordWrap/>
        <w:overflowPunct/>
        <w:topLinePunct w:val="0"/>
        <w:autoSpaceDE/>
        <w:autoSpaceDN/>
        <w:bidi w:val="0"/>
        <w:snapToGrid/>
        <w:rPr>
          <w:rFonts w:hint="eastAsia"/>
          <w:color w:val="auto"/>
          <w:highlight w:val="none"/>
          <w:lang w:eastAsia="zh-CN"/>
        </w:rPr>
      </w:pPr>
    </w:p>
    <w:p w14:paraId="2ACD1102">
      <w:pPr>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采购人（甲方）：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648389EC">
      <w:pPr>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供应商（乙方）：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1C502EB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依据《中华人民共和国民法典</w:t>
      </w:r>
      <w:r>
        <w:rPr>
          <w:rFonts w:hint="eastAsia" w:asciiTheme="minorEastAsia" w:hAnsiTheme="minorEastAsia" w:eastAsiaTheme="minorEastAsia" w:cstheme="minorEastAsia"/>
          <w:color w:val="auto"/>
          <w:sz w:val="24"/>
          <w:szCs w:val="24"/>
          <w:highlight w:val="none"/>
          <w:lang w:eastAsia="zh-CN"/>
        </w:rPr>
        <w:t>》等与</w:t>
      </w:r>
      <w:r>
        <w:rPr>
          <w:rFonts w:hint="eastAsia" w:asciiTheme="minorEastAsia" w:hAnsiTheme="minorEastAsia" w:eastAsiaTheme="minorEastAsia" w:cstheme="minorEastAsia"/>
          <w:color w:val="auto"/>
          <w:sz w:val="24"/>
          <w:szCs w:val="24"/>
          <w:highlight w:val="none"/>
        </w:rPr>
        <w:t>项目行业有关的法律法规，以及</w:t>
      </w:r>
      <w:r>
        <w:rPr>
          <w:rFonts w:hint="eastAsia" w:ascii="宋体" w:hAnsi="宋体" w:eastAsia="宋体" w:cs="宋体"/>
          <w:color w:val="auto"/>
          <w:sz w:val="24"/>
          <w:szCs w:val="24"/>
          <w:highlight w:val="none"/>
          <w:u w:val="single"/>
          <w:lang w:val="en-US" w:eastAsia="zh-CN"/>
        </w:rPr>
        <w:t>巫山县中医院陪</w:t>
      </w:r>
      <w:r>
        <w:rPr>
          <w:rFonts w:hint="eastAsia" w:ascii="宋体" w:hAnsi="宋体" w:eastAsia="宋体" w:cs="宋体"/>
          <w:color w:val="auto"/>
          <w:sz w:val="24"/>
          <w:szCs w:val="24"/>
          <w:highlight w:val="none"/>
          <w:u w:val="single"/>
        </w:rPr>
        <w:t>护支持中心</w:t>
      </w:r>
      <w:r>
        <w:rPr>
          <w:rFonts w:hint="eastAsia" w:ascii="宋体" w:hAnsi="宋体" w:eastAsia="宋体" w:cs="宋体"/>
          <w:color w:val="auto"/>
          <w:sz w:val="24"/>
          <w:szCs w:val="24"/>
          <w:highlight w:val="none"/>
          <w:u w:val="single"/>
          <w:lang w:val="en-US" w:eastAsia="zh-CN"/>
        </w:rPr>
        <w:t>服务项目</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乙方的《</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文件》及《</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通知书》，甲、乙双方同意签订本合同。详细技术说明及其他有关合同项目的特定信息由合同附件予以说明，合同附件及本项目的《</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磋商</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 xml:space="preserve">通知书》等均为本合同的组成部分。 </w:t>
      </w:r>
    </w:p>
    <w:p w14:paraId="2A35EE83">
      <w:pPr>
        <w:keepNext w:val="0"/>
        <w:keepLines w:val="0"/>
        <w:pageBreakBefore w:val="0"/>
        <w:widowControl w:val="0"/>
        <w:kinsoku/>
        <w:wordWrap/>
        <w:overflowPunct/>
        <w:topLinePunct w:val="0"/>
        <w:autoSpaceDE/>
        <w:autoSpaceDN/>
        <w:bidi w:val="0"/>
        <w:snapToGrid/>
        <w:spacing w:line="360" w:lineRule="auto"/>
        <w:ind w:firstLine="482" w:firstLineChars="200"/>
        <w:outlineLvl w:val="0"/>
        <w:rPr>
          <w:rFonts w:hint="eastAsia" w:asciiTheme="minorEastAsia" w:hAnsiTheme="minorEastAsia" w:eastAsiaTheme="minorEastAsia" w:cstheme="minorEastAsia"/>
          <w:b/>
          <w:bCs/>
          <w:color w:val="auto"/>
          <w:sz w:val="24"/>
          <w:szCs w:val="24"/>
          <w:highlight w:val="none"/>
        </w:rPr>
      </w:pPr>
      <w:bookmarkStart w:id="274" w:name="_Toc5439"/>
      <w:bookmarkStart w:id="275" w:name="_Toc29589"/>
      <w:r>
        <w:rPr>
          <w:rFonts w:hint="eastAsia" w:asciiTheme="minorEastAsia" w:hAnsiTheme="minorEastAsia" w:eastAsiaTheme="minorEastAsia" w:cstheme="minorEastAsia"/>
          <w:b/>
          <w:bCs/>
          <w:color w:val="auto"/>
          <w:sz w:val="24"/>
          <w:szCs w:val="24"/>
          <w:highlight w:val="none"/>
          <w:lang w:val="en-US" w:eastAsia="zh-CN"/>
        </w:rPr>
        <w:t xml:space="preserve">第一条 </w:t>
      </w:r>
      <w:r>
        <w:rPr>
          <w:rFonts w:hint="eastAsia" w:asciiTheme="minorEastAsia" w:hAnsiTheme="minorEastAsia" w:eastAsiaTheme="minorEastAsia" w:cstheme="minorEastAsia"/>
          <w:b/>
          <w:bCs/>
          <w:color w:val="auto"/>
          <w:sz w:val="24"/>
          <w:szCs w:val="24"/>
          <w:highlight w:val="none"/>
        </w:rPr>
        <w:t>项目基本情况</w:t>
      </w:r>
      <w:bookmarkEnd w:id="274"/>
      <w:bookmarkEnd w:id="275"/>
    </w:p>
    <w:p w14:paraId="51E6E93F">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采购项目名称：</w:t>
      </w:r>
      <w:r>
        <w:rPr>
          <w:rFonts w:hint="eastAsia" w:ascii="宋体" w:hAnsi="宋体" w:eastAsia="宋体" w:cs="宋体"/>
          <w:color w:val="auto"/>
          <w:sz w:val="24"/>
          <w:szCs w:val="24"/>
          <w:highlight w:val="none"/>
          <w:u w:val="single"/>
          <w:lang w:val="en-US" w:eastAsia="zh-CN"/>
        </w:rPr>
        <w:t>巫山县中医院陪</w:t>
      </w:r>
      <w:r>
        <w:rPr>
          <w:rFonts w:hint="eastAsia" w:ascii="宋体" w:hAnsi="宋体" w:eastAsia="宋体" w:cs="宋体"/>
          <w:color w:val="auto"/>
          <w:sz w:val="24"/>
          <w:szCs w:val="24"/>
          <w:highlight w:val="none"/>
          <w:u w:val="single"/>
        </w:rPr>
        <w:t>护支持中心</w:t>
      </w:r>
      <w:r>
        <w:rPr>
          <w:rFonts w:hint="eastAsia" w:ascii="宋体" w:hAnsi="宋体" w:eastAsia="宋体" w:cs="宋体"/>
          <w:color w:val="auto"/>
          <w:sz w:val="24"/>
          <w:szCs w:val="24"/>
          <w:highlight w:val="none"/>
          <w:u w:val="single"/>
          <w:lang w:val="en-US" w:eastAsia="zh-CN"/>
        </w:rPr>
        <w:t>服务项目</w:t>
      </w:r>
      <w:r>
        <w:rPr>
          <w:rFonts w:hint="eastAsia" w:asciiTheme="minorEastAsia" w:hAnsiTheme="minorEastAsia" w:eastAsiaTheme="minorEastAsia" w:cstheme="minorEastAsia"/>
          <w:color w:val="auto"/>
          <w:sz w:val="24"/>
          <w:szCs w:val="24"/>
          <w:highlight w:val="none"/>
        </w:rPr>
        <w:t>。</w:t>
      </w:r>
    </w:p>
    <w:p w14:paraId="0805AA6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lang w:val="en-US" w:eastAsia="zh-CN"/>
        </w:rPr>
        <w:t>巫山县中医院</w:t>
      </w:r>
      <w:r>
        <w:rPr>
          <w:rFonts w:hint="eastAsia" w:asciiTheme="minorEastAsia" w:hAnsiTheme="minorEastAsia" w:eastAsiaTheme="minorEastAsia" w:cstheme="minorEastAsia"/>
          <w:color w:val="auto"/>
          <w:sz w:val="24"/>
          <w:szCs w:val="24"/>
          <w:highlight w:val="none"/>
        </w:rPr>
        <w:t>。</w:t>
      </w:r>
    </w:p>
    <w:p w14:paraId="649FC337">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服务地点：</w:t>
      </w:r>
      <w:r>
        <w:rPr>
          <w:rFonts w:hint="eastAsia" w:asciiTheme="minorEastAsia" w:hAnsiTheme="minorEastAsia" w:eastAsiaTheme="minorEastAsia" w:cstheme="minorEastAsia"/>
          <w:color w:val="auto"/>
          <w:sz w:val="24"/>
          <w:szCs w:val="24"/>
          <w:highlight w:val="none"/>
          <w:lang w:val="en-US" w:eastAsia="zh-CN"/>
        </w:rPr>
        <w:t>巫山县中医院。</w:t>
      </w:r>
    </w:p>
    <w:p w14:paraId="23E4829F">
      <w:pPr>
        <w:keepNext w:val="0"/>
        <w:keepLines w:val="0"/>
        <w:pageBreakBefore w:val="0"/>
        <w:widowControl w:val="0"/>
        <w:kinsoku/>
        <w:wordWrap/>
        <w:overflowPunct/>
        <w:topLinePunct w:val="0"/>
        <w:autoSpaceDE/>
        <w:autoSpaceDN/>
        <w:bidi w:val="0"/>
        <w:snapToGrid/>
        <w:spacing w:line="360" w:lineRule="auto"/>
        <w:ind w:firstLine="482" w:firstLineChars="200"/>
        <w:outlineLvl w:val="0"/>
        <w:rPr>
          <w:rFonts w:hint="eastAsia" w:asciiTheme="minorEastAsia" w:hAnsiTheme="minorEastAsia" w:eastAsiaTheme="minorEastAsia" w:cstheme="minorEastAsia"/>
          <w:b/>
          <w:bCs/>
          <w:color w:val="auto"/>
          <w:sz w:val="24"/>
          <w:szCs w:val="24"/>
          <w:highlight w:val="none"/>
          <w:lang w:val="en-US" w:eastAsia="zh-CN"/>
        </w:rPr>
      </w:pPr>
      <w:bookmarkStart w:id="276" w:name="_Toc2386"/>
      <w:bookmarkStart w:id="277" w:name="_Toc29023"/>
      <w:r>
        <w:rPr>
          <w:rFonts w:hint="eastAsia" w:asciiTheme="minorEastAsia" w:hAnsiTheme="minorEastAsia" w:eastAsiaTheme="minorEastAsia" w:cstheme="minorEastAsia"/>
          <w:b/>
          <w:bCs/>
          <w:color w:val="auto"/>
          <w:sz w:val="24"/>
          <w:szCs w:val="24"/>
          <w:highlight w:val="none"/>
          <w:lang w:val="en-US" w:eastAsia="zh-CN"/>
        </w:rPr>
        <w:t>第二条 合同期限</w:t>
      </w:r>
      <w:bookmarkEnd w:id="276"/>
      <w:bookmarkEnd w:id="277"/>
    </w:p>
    <w:p w14:paraId="66D82DB0">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服务期限</w:t>
      </w:r>
      <w:r>
        <w:rPr>
          <w:rFonts w:hint="eastAsia" w:asciiTheme="minorEastAsia" w:hAnsiTheme="minorEastAsia" w:eastAsiaTheme="minorEastAsia" w:cstheme="minorEastAsia"/>
          <w:color w:val="auto"/>
          <w:sz w:val="24"/>
          <w:szCs w:val="24"/>
          <w:highlight w:val="none"/>
        </w:rPr>
        <w:t>三年，合同一年一签，若成交供应商不能有效履行合同，终止续签。服务开始时间以患者服务中心通知为准</w:t>
      </w:r>
      <w:r>
        <w:rPr>
          <w:rFonts w:hint="eastAsia" w:asciiTheme="minorEastAsia" w:hAnsiTheme="minorEastAsia" w:eastAsiaTheme="minorEastAsia" w:cstheme="minorEastAsia"/>
          <w:color w:val="auto"/>
          <w:sz w:val="24"/>
          <w:szCs w:val="24"/>
          <w:highlight w:val="none"/>
          <w:lang w:eastAsia="zh-CN"/>
        </w:rPr>
        <w:t>。</w:t>
      </w:r>
      <w:bookmarkStart w:id="278" w:name="_Toc241833903"/>
      <w:bookmarkStart w:id="279" w:name="_Toc238984975"/>
      <w:bookmarkStart w:id="280" w:name="_Toc283019214"/>
      <w:bookmarkStart w:id="281" w:name="_Toc212019594"/>
      <w:bookmarkStart w:id="282" w:name="_Toc225654644"/>
      <w:bookmarkStart w:id="283" w:name="_Toc239568418"/>
      <w:bookmarkStart w:id="284" w:name="_Toc211854449"/>
      <w:bookmarkStart w:id="285" w:name="_Toc225670751"/>
      <w:bookmarkStart w:id="286" w:name="_Toc286993786"/>
      <w:bookmarkStart w:id="287" w:name="_Toc251768862"/>
      <w:bookmarkStart w:id="288" w:name="_Toc282696226"/>
      <w:bookmarkStart w:id="289" w:name="_Toc225244852"/>
      <w:bookmarkStart w:id="290" w:name="_Toc237145406"/>
      <w:bookmarkStart w:id="291" w:name="_Toc185395249"/>
      <w:bookmarkStart w:id="292" w:name="_Toc232492928"/>
      <w:bookmarkStart w:id="293" w:name="_Toc247334841"/>
      <w:bookmarkStart w:id="294" w:name="_Toc211911348"/>
      <w:bookmarkStart w:id="295" w:name="_Toc239233914"/>
    </w:p>
    <w:p w14:paraId="15E90FF3">
      <w:pPr>
        <w:keepNext w:val="0"/>
        <w:keepLines w:val="0"/>
        <w:pageBreakBefore w:val="0"/>
        <w:widowControl w:val="0"/>
        <w:numPr>
          <w:ilvl w:val="0"/>
          <w:numId w:val="13"/>
        </w:numPr>
        <w:kinsoku/>
        <w:wordWrap/>
        <w:overflowPunct/>
        <w:topLinePunct w:val="0"/>
        <w:autoSpaceDE/>
        <w:autoSpaceDN/>
        <w:bidi w:val="0"/>
        <w:snapToGrid/>
        <w:spacing w:line="360" w:lineRule="auto"/>
        <w:ind w:firstLine="482" w:firstLineChars="200"/>
        <w:outlineLvl w:val="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 xml:space="preserve"> </w:t>
      </w:r>
      <w:bookmarkStart w:id="296" w:name="_Toc3735"/>
      <w:bookmarkStart w:id="297" w:name="_Toc10078"/>
      <w:r>
        <w:rPr>
          <w:rFonts w:hint="eastAsia" w:asciiTheme="minorEastAsia" w:hAnsiTheme="minorEastAsia" w:eastAsiaTheme="minorEastAsia" w:cstheme="minorEastAsia"/>
          <w:b/>
          <w:bCs/>
          <w:color w:val="auto"/>
          <w:sz w:val="24"/>
          <w:szCs w:val="24"/>
          <w:highlight w:val="none"/>
          <w:lang w:val="en-US" w:eastAsia="zh-CN"/>
        </w:rPr>
        <w:t>服务要求与质量标准</w:t>
      </w:r>
      <w:bookmarkEnd w:id="296"/>
      <w:bookmarkEnd w:id="297"/>
    </w:p>
    <w:p w14:paraId="059624AC">
      <w:pPr>
        <w:pStyle w:val="3"/>
        <w:adjustRightInd w:val="0"/>
        <w:snapToGrid w:val="0"/>
        <w:spacing w:before="0" w:after="0" w:line="400" w:lineRule="exact"/>
        <w:ind w:firstLine="482" w:firstLineChars="200"/>
        <w:outlineLvl w:val="9"/>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一、采购服务内容</w:t>
      </w:r>
    </w:p>
    <w:p w14:paraId="6D2376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）护工陪护服务范围、时间、内容</w:t>
      </w:r>
    </w:p>
    <w:p w14:paraId="7856D0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TW"/>
        </w:rPr>
        <w:t>服务</w:t>
      </w:r>
      <w:r>
        <w:rPr>
          <w:rFonts w:hint="eastAsia" w:asciiTheme="minorEastAsia" w:hAnsiTheme="minorEastAsia" w:eastAsiaTheme="minorEastAsia" w:cstheme="minorEastAsia"/>
          <w:color w:val="auto"/>
          <w:sz w:val="24"/>
          <w:szCs w:val="24"/>
          <w:highlight w:val="none"/>
        </w:rPr>
        <w:t>范围及时间</w:t>
      </w:r>
    </w:p>
    <w:p w14:paraId="7AE92A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（1）根据患者或家属与</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签订的协议提供护工服务。</w:t>
      </w:r>
    </w:p>
    <w:p w14:paraId="162B50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在紧急或特殊情况下，供应商需严格遵照上级及医院工作要求，全力配合完成护工服务相关工作。</w:t>
      </w:r>
    </w:p>
    <w:p w14:paraId="0F57BE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护工服务的科室范围以医院业务安排为准，供应商须严格遵守医院的各项安排及工作部署，否则视为违约，采购人有权单方面解除合同。</w:t>
      </w:r>
    </w:p>
    <w:p w14:paraId="3AAFA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（4）售后服务：接到电话半小时内必须响应；遇突发情况时，立即启动解决预案。</w:t>
      </w:r>
    </w:p>
    <w:p w14:paraId="0B425D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2.服务内容</w:t>
      </w:r>
    </w:p>
    <w:p w14:paraId="4519E6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（1）为患者提供护工陪护生活照顾服务。</w:t>
      </w:r>
    </w:p>
    <w:p w14:paraId="3C78EE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（2）护工陪护生活照顾服务的基本要求</w:t>
      </w:r>
    </w:p>
    <w:p w14:paraId="34993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当患者有护工陪护服务需求时，在患者或家属自愿选择的前提下，由供应商提供护工陪护服务并依规收费，以优质服务满足患者的基本及特殊需求，让患者安心、家属放心，助力患者早日康复。</w:t>
      </w:r>
    </w:p>
    <w:p w14:paraId="6F0697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3.床单位管理</w:t>
      </w:r>
    </w:p>
    <w:p w14:paraId="2A70CA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（1）按照病房管理规范</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保持患者病床、地面清洁，私人物品妥善放置。</w:t>
      </w:r>
    </w:p>
    <w:p w14:paraId="15E3DC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（2）保持床头柜桌面整洁、床下无杂物。</w:t>
      </w:r>
    </w:p>
    <w:p w14:paraId="477DDC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4.提供增值服务</w:t>
      </w:r>
    </w:p>
    <w:p w14:paraId="4A4D33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（1）对退役军人、医院在职职工提供8折优惠服务。</w:t>
      </w:r>
    </w:p>
    <w:p w14:paraId="26011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（2）对医院在职职工直系亲属提供9折优惠。</w:t>
      </w:r>
    </w:p>
    <w:p w14:paraId="31010F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5.客户纠纷处理</w:t>
      </w:r>
    </w:p>
    <w:p w14:paraId="5490B6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（1）供应商须无负债，未出现过因供应商方责任的劳动纠纷，未受到过行政处分及其他未提及的司法风险。（供应商需提供以上证明材料，同时附上法人征信证明、企业信用报告）</w:t>
      </w:r>
    </w:p>
    <w:p w14:paraId="5EE514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（2）若供应商与客户方发生纠纷且未及时处理，导致客户方与采购方发生纠纷的，采购人有权立即终止与供应商的合同，同时对履约保证金不予退还。</w:t>
      </w:r>
    </w:p>
    <w:p w14:paraId="7D877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6.供应商应提供微信小程序，功能至少包括护工人员信息展示功能、陪护等级及陪护内容说明、选择预约功能、费用结算功能、评价功能。（提供小程序1张或多张截图，体现上述功能）</w:t>
      </w:r>
    </w:p>
    <w:p w14:paraId="79946A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公益服务岗位</w:t>
      </w:r>
    </w:p>
    <w:p w14:paraId="46587A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中标人根据我院护理服务需求设立公益服务岗位（例如包括院前、院内担架工、配件配送、全院标本运送、中西药房取药服务等），</w:t>
      </w:r>
      <w:r>
        <w:rPr>
          <w:rFonts w:hint="eastAsia" w:asciiTheme="minorEastAsia" w:hAnsiTheme="minorEastAsia" w:eastAsiaTheme="minorEastAsia" w:cstheme="minorEastAsia"/>
          <w:color w:val="auto"/>
          <w:sz w:val="24"/>
          <w:szCs w:val="24"/>
          <w:highlight w:val="none"/>
          <w:lang w:eastAsia="zh-CN"/>
        </w:rPr>
        <w:t>由乙方全额承担公益服务岗位人员的工资、福利、社保等所有用工相关费用，并对该岗位人员因工作差错、失误等引发的各类纠纷、赔偿责任及法律责任全权负责。</w:t>
      </w:r>
    </w:p>
    <w:p w14:paraId="74209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服务要求</w:t>
      </w:r>
    </w:p>
    <w:p w14:paraId="48E3A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严格遵守国家相关法律法规及医院各项规章制度，自觉服从病区的统一管理，全程在执业护士的专业指导下开展工作。</w:t>
      </w:r>
      <w:r>
        <w:rPr>
          <w:rFonts w:hint="eastAsia" w:asciiTheme="minorEastAsia" w:hAnsiTheme="minorEastAsia" w:eastAsiaTheme="minorEastAsia" w:cstheme="minorEastAsia"/>
          <w:color w:val="auto"/>
          <w:sz w:val="24"/>
          <w:szCs w:val="24"/>
          <w:highlight w:val="none"/>
        </w:rPr>
        <w:t>　</w:t>
      </w:r>
    </w:p>
    <w:p w14:paraId="524C5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上班期间统一着工作服，保持服装整洁，不得干私活；病房内不得嬉笑打闹、饮酒、抽烟，严禁携带无关人员进入病区。</w:t>
      </w:r>
    </w:p>
    <w:p w14:paraId="64AC18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3.在工作中使用文明用语，动作轻柔、态度和蔼，不得与患者及家属发生争吵或打斗。</w:t>
      </w:r>
    </w:p>
    <w:p w14:paraId="5DF7F6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4.供应商提供的服务内容：</w:t>
      </w:r>
      <w:r>
        <w:rPr>
          <w:rFonts w:hint="eastAsia" w:asciiTheme="minorEastAsia" w:hAnsiTheme="minorEastAsia" w:eastAsiaTheme="minorEastAsia" w:cstheme="minorEastAsia"/>
          <w:color w:val="auto"/>
          <w:sz w:val="24"/>
          <w:szCs w:val="24"/>
          <w:highlight w:val="none"/>
          <w:lang w:eastAsia="zh-CN"/>
        </w:rPr>
        <w:t>在执业护士指导下，参照分级护理标准（分级护理是指医护人员根据患者病情的轻、重、缓、急和生活自理能力的不同，分为特级、一级、二级、四级护理四个级别），遵照不同级别对应的照护服务要求（如特级护理需24小时专人护理，一级护理需每小时巡视患者、协助完成就餐服药等生活照料，二级护理需每2小时巡视并提供必要生活护理，三级护理针对生活完全自理的康复期患者提供基础照料），完成生活照料工作；</w:t>
      </w:r>
    </w:p>
    <w:p w14:paraId="0A939F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（1）负责服务对象的生活护理，如洗脸、漱口、洗头、洗脚、洗澡等；</w:t>
      </w:r>
    </w:p>
    <w:p w14:paraId="283BF3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协助服务对象进食、饮水，照料其大小便；</w:t>
      </w:r>
    </w:p>
    <w:p w14:paraId="23CBB0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（3）协助服务对象翻身、进行功能锻炼；</w:t>
      </w:r>
    </w:p>
    <w:p w14:paraId="7A72F5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（4）护送并协助服务对象进行检查、理疗</w:t>
      </w:r>
      <w:r>
        <w:rPr>
          <w:rFonts w:hint="eastAsia" w:asciiTheme="minorEastAsia" w:hAnsiTheme="minorEastAsia" w:eastAsiaTheme="minorEastAsia" w:cstheme="minorEastAsia"/>
          <w:color w:val="auto"/>
          <w:sz w:val="24"/>
          <w:szCs w:val="24"/>
          <w:highlight w:val="none"/>
          <w:lang w:eastAsia="zh-CN"/>
        </w:rPr>
        <w:t>和</w:t>
      </w:r>
      <w:r>
        <w:rPr>
          <w:rFonts w:hint="eastAsia" w:asciiTheme="minorEastAsia" w:hAnsiTheme="minorEastAsia" w:eastAsiaTheme="minorEastAsia" w:cstheme="minorEastAsia"/>
          <w:color w:val="auto"/>
          <w:sz w:val="24"/>
          <w:szCs w:val="24"/>
          <w:highlight w:val="none"/>
        </w:rPr>
        <w:t>康复活动；</w:t>
      </w:r>
    </w:p>
    <w:p w14:paraId="7405FC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（5）清洁消毒服务对象的脸盆、茶具、便盆等生活用具；</w:t>
      </w:r>
    </w:p>
    <w:p w14:paraId="0BDB70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eastAsia="zh-CN"/>
        </w:rPr>
        <w:t>保障服务对象的安全，满足其基本生活需求；</w:t>
      </w:r>
    </w:p>
    <w:p w14:paraId="1DC368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eastAsia="zh-CN"/>
        </w:rPr>
        <w:t>必要时协助医护人员掌握服务对象病情，发现异常及时告知医护人员；</w:t>
      </w:r>
    </w:p>
    <w:p w14:paraId="76B9B4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（8）在服务对象或家属安排下为其购买生活用品；</w:t>
      </w:r>
    </w:p>
    <w:p w14:paraId="78D11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（9）随时关注服务对象情绪状况，给予适当的心理安慰，有异常情况要告知家属和</w:t>
      </w:r>
      <w:r>
        <w:rPr>
          <w:rFonts w:hint="eastAsia" w:asciiTheme="minorEastAsia" w:hAnsiTheme="minorEastAsia" w:eastAsiaTheme="minorEastAsia" w:cstheme="minorEastAsia"/>
          <w:color w:val="auto"/>
          <w:sz w:val="24"/>
          <w:szCs w:val="24"/>
          <w:highlight w:val="none"/>
          <w:lang w:eastAsia="zh-CN"/>
        </w:rPr>
        <w:t>医护人员</w:t>
      </w:r>
      <w:r>
        <w:rPr>
          <w:rFonts w:hint="eastAsia" w:asciiTheme="minorEastAsia" w:hAnsiTheme="minorEastAsia" w:eastAsiaTheme="minorEastAsia" w:cstheme="minorEastAsia"/>
          <w:color w:val="auto"/>
          <w:sz w:val="24"/>
          <w:szCs w:val="24"/>
          <w:highlight w:val="none"/>
        </w:rPr>
        <w:t>。</w:t>
      </w:r>
    </w:p>
    <w:p w14:paraId="5A6AA3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（10）</w:t>
      </w:r>
      <w:r>
        <w:rPr>
          <w:rFonts w:hint="eastAsia" w:asciiTheme="minorEastAsia" w:hAnsiTheme="minorEastAsia" w:eastAsiaTheme="minorEastAsia" w:cstheme="minorEastAsia"/>
          <w:color w:val="auto"/>
          <w:sz w:val="24"/>
          <w:szCs w:val="24"/>
          <w:highlight w:val="none"/>
          <w:lang w:eastAsia="zh-CN"/>
        </w:rPr>
        <w:t>在医护人员指导下做好约束、制动工作，防范服务对象跌倒、烫伤。</w:t>
      </w:r>
    </w:p>
    <w:p w14:paraId="5635A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5.不得私自向患者及家属暗示或索要钱、物，不占用患者物品。</w:t>
      </w:r>
    </w:p>
    <w:p w14:paraId="69FF62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6.严禁执行任何医疗护理操作，如换液、吸痰、拔管等，发现问题及时报告病区护士处理。</w:t>
      </w:r>
    </w:p>
    <w:p w14:paraId="7165F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rPr>
        <w:t>连接输液管或者拔出输液管路、调节输液速度、更换引流管等</w:t>
      </w:r>
      <w:r>
        <w:rPr>
          <w:rFonts w:hint="eastAsia" w:asciiTheme="minorEastAsia" w:hAnsiTheme="minorEastAsia" w:eastAsiaTheme="minorEastAsia" w:cstheme="minorEastAsia"/>
          <w:color w:val="auto"/>
          <w:sz w:val="24"/>
          <w:szCs w:val="24"/>
          <w:highlight w:val="none"/>
          <w:lang w:eastAsia="zh-CN"/>
        </w:rPr>
        <w:t>；</w:t>
      </w:r>
    </w:p>
    <w:p w14:paraId="18781A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操作监护仪等急救、诊疗设施设备</w:t>
      </w:r>
      <w:r>
        <w:rPr>
          <w:rFonts w:hint="eastAsia" w:asciiTheme="minorEastAsia" w:hAnsiTheme="minorEastAsia" w:eastAsiaTheme="minorEastAsia" w:cstheme="minorEastAsia"/>
          <w:color w:val="auto"/>
          <w:sz w:val="24"/>
          <w:szCs w:val="24"/>
          <w:highlight w:val="none"/>
          <w:lang w:eastAsia="zh-CN"/>
        </w:rPr>
        <w:t>；</w:t>
      </w:r>
    </w:p>
    <w:p w14:paraId="2B3CDF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调节氧气开关，更换或者加减湿化瓶用水，为患者做吸痰、雾化吸入等</w:t>
      </w:r>
      <w:r>
        <w:rPr>
          <w:rFonts w:hint="eastAsia" w:asciiTheme="minorEastAsia" w:hAnsiTheme="minorEastAsia" w:eastAsiaTheme="minorEastAsia" w:cstheme="minorEastAsia"/>
          <w:color w:val="auto"/>
          <w:sz w:val="24"/>
          <w:szCs w:val="24"/>
          <w:highlight w:val="none"/>
          <w:lang w:eastAsia="zh-CN"/>
        </w:rPr>
        <w:t>；</w:t>
      </w:r>
    </w:p>
    <w:p w14:paraId="616237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z w:val="24"/>
          <w:szCs w:val="24"/>
          <w:highlight w:val="none"/>
        </w:rPr>
        <w:t>未经卫生技术人员</w:t>
      </w:r>
      <w:r>
        <w:rPr>
          <w:rFonts w:hint="eastAsia" w:asciiTheme="minorEastAsia" w:hAnsiTheme="minorEastAsia" w:eastAsiaTheme="minorEastAsia" w:cstheme="minorEastAsia"/>
          <w:color w:val="auto"/>
          <w:sz w:val="24"/>
          <w:szCs w:val="24"/>
          <w:highlight w:val="none"/>
          <w:lang w:eastAsia="zh-CN"/>
        </w:rPr>
        <w:t>许可，为</w:t>
      </w:r>
      <w:r>
        <w:rPr>
          <w:rFonts w:hint="eastAsia" w:asciiTheme="minorEastAsia" w:hAnsiTheme="minorEastAsia" w:eastAsiaTheme="minorEastAsia" w:cstheme="minorEastAsia"/>
          <w:color w:val="auto"/>
          <w:sz w:val="24"/>
          <w:szCs w:val="24"/>
          <w:highlight w:val="none"/>
        </w:rPr>
        <w:t>鼻饲服务对象灌注食物或者药物；</w:t>
      </w:r>
    </w:p>
    <w:p w14:paraId="5AAB0C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（5）</w:t>
      </w:r>
      <w:r>
        <w:rPr>
          <w:rFonts w:hint="eastAsia" w:asciiTheme="minorEastAsia" w:hAnsiTheme="minorEastAsia" w:eastAsiaTheme="minorEastAsia" w:cstheme="minorEastAsia"/>
          <w:color w:val="auto"/>
          <w:sz w:val="24"/>
          <w:szCs w:val="24"/>
          <w:highlight w:val="none"/>
        </w:rPr>
        <w:t>未经卫生技术人员指导，做热敷、冷敷</w:t>
      </w:r>
      <w:r>
        <w:rPr>
          <w:rFonts w:hint="eastAsia" w:asciiTheme="minorEastAsia" w:hAnsiTheme="minorEastAsia" w:eastAsiaTheme="minorEastAsia" w:cstheme="minorEastAsia"/>
          <w:color w:val="auto"/>
          <w:sz w:val="24"/>
          <w:szCs w:val="24"/>
          <w:highlight w:val="none"/>
          <w:lang w:eastAsia="zh-CN"/>
        </w:rPr>
        <w:t>；</w:t>
      </w:r>
    </w:p>
    <w:p w14:paraId="19EC02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（6）</w:t>
      </w:r>
      <w:r>
        <w:rPr>
          <w:rFonts w:hint="eastAsia" w:asciiTheme="minorEastAsia" w:hAnsiTheme="minorEastAsia" w:eastAsiaTheme="minorEastAsia" w:cstheme="minorEastAsia"/>
          <w:color w:val="auto"/>
          <w:sz w:val="24"/>
          <w:szCs w:val="24"/>
          <w:highlight w:val="none"/>
        </w:rPr>
        <w:t>未经卫生技术人员同意，为危重、术后或者病情不稳定服务对象更换床单、改变体位或者下床活动等</w:t>
      </w:r>
      <w:r>
        <w:rPr>
          <w:rFonts w:hint="eastAsia" w:asciiTheme="minorEastAsia" w:hAnsiTheme="minorEastAsia" w:eastAsiaTheme="minorEastAsia" w:cstheme="minorEastAsia"/>
          <w:color w:val="auto"/>
          <w:sz w:val="24"/>
          <w:szCs w:val="24"/>
          <w:highlight w:val="none"/>
          <w:lang w:eastAsia="zh-CN"/>
        </w:rPr>
        <w:t>；</w:t>
      </w:r>
    </w:p>
    <w:p w14:paraId="5AEA63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（7）</w:t>
      </w:r>
      <w:r>
        <w:rPr>
          <w:rFonts w:hint="eastAsia" w:asciiTheme="minorEastAsia" w:hAnsiTheme="minorEastAsia" w:eastAsiaTheme="minorEastAsia" w:cstheme="minorEastAsia"/>
          <w:color w:val="auto"/>
          <w:sz w:val="24"/>
          <w:szCs w:val="24"/>
          <w:highlight w:val="none"/>
        </w:rPr>
        <w:t>为服务对象解释病情</w:t>
      </w:r>
      <w:r>
        <w:rPr>
          <w:rFonts w:hint="eastAsia" w:asciiTheme="minorEastAsia" w:hAnsiTheme="minorEastAsia" w:eastAsiaTheme="minorEastAsia" w:cstheme="minorEastAsia"/>
          <w:color w:val="auto"/>
          <w:sz w:val="24"/>
          <w:szCs w:val="24"/>
          <w:highlight w:val="none"/>
          <w:lang w:eastAsia="zh-CN"/>
        </w:rPr>
        <w:t>；</w:t>
      </w:r>
    </w:p>
    <w:p w14:paraId="27838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（8）</w:t>
      </w:r>
      <w:r>
        <w:rPr>
          <w:rFonts w:hint="eastAsia" w:asciiTheme="minorEastAsia" w:hAnsiTheme="minorEastAsia" w:eastAsiaTheme="minorEastAsia" w:cstheme="minorEastAsia"/>
          <w:color w:val="auto"/>
          <w:sz w:val="24"/>
          <w:szCs w:val="24"/>
          <w:highlight w:val="none"/>
        </w:rPr>
        <w:t>开展</w:t>
      </w:r>
      <w:r>
        <w:rPr>
          <w:rFonts w:hint="eastAsia" w:asciiTheme="minorEastAsia" w:hAnsiTheme="minorEastAsia" w:eastAsiaTheme="minorEastAsia" w:cstheme="minorEastAsia"/>
          <w:color w:val="auto"/>
          <w:sz w:val="24"/>
          <w:szCs w:val="24"/>
          <w:highlight w:val="none"/>
          <w:lang w:eastAsia="zh-CN"/>
        </w:rPr>
        <w:t>其他</w:t>
      </w:r>
      <w:r>
        <w:rPr>
          <w:rFonts w:hint="eastAsia" w:asciiTheme="minorEastAsia" w:hAnsiTheme="minorEastAsia" w:eastAsiaTheme="minorEastAsia" w:cstheme="minorEastAsia"/>
          <w:color w:val="auto"/>
          <w:sz w:val="24"/>
          <w:szCs w:val="24"/>
          <w:highlight w:val="none"/>
        </w:rPr>
        <w:t>医疗卫生</w:t>
      </w:r>
      <w:r>
        <w:rPr>
          <w:rFonts w:hint="eastAsia" w:asciiTheme="minorEastAsia" w:hAnsiTheme="minorEastAsia" w:eastAsiaTheme="minorEastAsia" w:cstheme="minorEastAsia"/>
          <w:color w:val="auto"/>
          <w:sz w:val="24"/>
          <w:szCs w:val="24"/>
          <w:highlight w:val="none"/>
          <w:lang w:eastAsia="zh-CN"/>
        </w:rPr>
        <w:t>技术</w:t>
      </w:r>
      <w:r>
        <w:rPr>
          <w:rFonts w:hint="eastAsia" w:asciiTheme="minorEastAsia" w:hAnsiTheme="minorEastAsia" w:eastAsiaTheme="minorEastAsia" w:cstheme="minorEastAsia"/>
          <w:color w:val="auto"/>
          <w:sz w:val="24"/>
          <w:szCs w:val="24"/>
          <w:highlight w:val="none"/>
        </w:rPr>
        <w:t>服务。</w:t>
      </w:r>
    </w:p>
    <w:p w14:paraId="001050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r>
        <w:rPr>
          <w:rFonts w:hint="eastAsia" w:asciiTheme="minorEastAsia" w:hAnsiTheme="minorEastAsia" w:eastAsiaTheme="minorEastAsia" w:cstheme="minorEastAsia"/>
          <w:color w:val="auto"/>
          <w:sz w:val="24"/>
          <w:szCs w:val="24"/>
          <w:highlight w:val="none"/>
          <w:lang w:eastAsia="zh-CN"/>
        </w:rPr>
        <w:t>严禁擅自进入医生办公室、治疗室、值班室、护士站等工作场所</w:t>
      </w:r>
      <w:r>
        <w:rPr>
          <w:rFonts w:hint="eastAsia" w:asciiTheme="minorEastAsia" w:hAnsiTheme="minorEastAsia" w:eastAsiaTheme="minorEastAsia" w:cstheme="minorEastAsia"/>
          <w:color w:val="auto"/>
          <w:sz w:val="24"/>
          <w:szCs w:val="24"/>
          <w:highlight w:val="none"/>
        </w:rPr>
        <w:t>，严禁翻阅病历和其他医疗文件。</w:t>
      </w:r>
    </w:p>
    <w:p w14:paraId="7241B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（四）</w:t>
      </w:r>
      <w:r>
        <w:rPr>
          <w:rFonts w:hint="eastAsia" w:asciiTheme="minorEastAsia" w:hAnsiTheme="minorEastAsia" w:eastAsiaTheme="minorEastAsia" w:cstheme="minorEastAsia"/>
          <w:color w:val="auto"/>
          <w:sz w:val="24"/>
          <w:szCs w:val="24"/>
          <w:highlight w:val="none"/>
        </w:rPr>
        <w:t>人员要求</w:t>
      </w:r>
    </w:p>
    <w:p w14:paraId="34D0E4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乙方配有专业法律顾问，其法律顾问具备国家认可的执业资质，熟悉商业交易、仲裁、诉讼相关法律法规及流程，能够对各类争议进行法律论证并提出解决方案，可代表公司参与纠纷的调解或诉讼，同时公司具备相应的赔偿能力。</w:t>
      </w:r>
    </w:p>
    <w:p w14:paraId="34415A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乙方工作人员需统一服装，挂牌上岗。年龄一般要求男员工不大于60周岁，女员工不大于55周岁。若应聘人员身体状况良好，具备专业护理知识与技能，可酌情放宽年龄限制。</w:t>
      </w:r>
    </w:p>
    <w:p w14:paraId="3A571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（3）健康状况：身心健康，持有二级及以上医疗机构出具的健康检查合格证；</w:t>
      </w:r>
    </w:p>
    <w:p w14:paraId="265EB0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（4）思想道德素质：遵纪守法</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作风端正</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工作认真</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服务意识强</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能吃苦耐劳，具备爱心、耐心、细心及同理心，有一定的交流沟通能力，无违纪违法行为；</w:t>
      </w:r>
    </w:p>
    <w:p w14:paraId="777090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eastAsia="zh-CN"/>
        </w:rPr>
        <w:t>须经过相关专业培训并取得对应从业资质，能胜任指定病患照护工作。后期若因国家政策调整导致医院管理模式改革，要求护工具备特定准入资质，供应商应严格按照相关规定组织护工参加对应培训并取得相应资质，方可安排其从事相关照护工作。</w:t>
      </w:r>
    </w:p>
    <w:p w14:paraId="05F170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w:t>
      </w:r>
      <w:r>
        <w:rPr>
          <w:rFonts w:hint="eastAsia" w:asciiTheme="minorEastAsia" w:hAnsiTheme="minorEastAsia" w:eastAsiaTheme="minorEastAsia" w:cstheme="minorEastAsia"/>
          <w:color w:val="auto"/>
          <w:sz w:val="24"/>
          <w:szCs w:val="24"/>
          <w:highlight w:val="none"/>
          <w:lang w:eastAsia="zh-CN"/>
        </w:rPr>
        <w:t>若供应商派出的工作人员不符合上述要求，医院有权要求供应商立即更换符合条件的工作人员。</w:t>
      </w:r>
    </w:p>
    <w:p w14:paraId="1A463E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（五）管理要求</w:t>
      </w:r>
    </w:p>
    <w:p w14:paraId="76F28D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1.供应商须建立完善的管理体系与管理制度，具备良好的社会信誉，能够提供优质规范的陪护服务。</w:t>
      </w:r>
    </w:p>
    <w:p w14:paraId="53DE07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为加强对护工的管理，供应商须指定一名总负责人，并配备不少于2名管理人员，负责护工的招聘、用工、薪酬、考核、岗前岗中培训等日常管理工作。培训内容包括但不局限于职业道德（含医德医风教育）、劳动纪律、工作态度、工作职责、公司及医院规章、考核标准（采用理论考试与实践操作相结合的方式，分优秀、合格、不合格三个等级）等；采购方负责组织实施业务培训，包括消毒隔离知识（含院内感染控制规范）、病人卫生处置和生活护理、常见卧位及更换卧位方法、病人转运、健康教育知识、沟通交流技巧（含护患沟通技巧）、紧急情况应急处置（含急救相关技能实操）等。供应商及护工均要服从并配合采购方相关职能部门的督导。</w:t>
      </w:r>
    </w:p>
    <w:p w14:paraId="09ECC6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3.供应商须将服务项目对应收费明细交采购方患者服务中心备案，并在提供服务的临床科室挂牌公示，不得擅自更改收费标准。</w:t>
      </w:r>
    </w:p>
    <w:p w14:paraId="0D8B53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供应商须将生活护理员的身份证、健康证等复印件交采购人护理部备案，合同期间人员有变动，须及时更新备案信息。供应商应建立服务过程档案，包括生活护理员入职登记表、服务对象生活护理合同（协议）、生活护理员服务满意度调查表、管理人员巡查记录表、投诉处理记录表等。供应商应建立生活护理员档案，包括生活护理员信息采集表、服务合同（协议）、培训和考核记录、奖惩记录等。以上记录随时备医院检查。</w:t>
      </w:r>
    </w:p>
    <w:p w14:paraId="6AC2B9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5.供应商及护工须全力配合采购方及使用科室的管理，厉行节约、爱护各类公共财物，维护病区环境整洁，若人为损坏医院设施设备等须照价赔偿。</w:t>
      </w:r>
    </w:p>
    <w:p w14:paraId="3FEFE6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6.采购人与供应商所属护工之间不存在任何劳动、劳务及雇佣关系。护工上下班或工作中的人身安全由护工本人或供应商负责，若发生意外与采购人无关。</w:t>
      </w:r>
    </w:p>
    <w:p w14:paraId="040FC2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7.护工上班期间须仪容仪表整洁，穿工作服、佩戴工作证；使用文明用语，态度亲切，不得与病人或家属发生争吵。</w:t>
      </w:r>
    </w:p>
    <w:p w14:paraId="02C711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护工须严格遵守供应商及医院的各项规章制度，上班期间不得从事任何与工作无关的事宜；不得干预正常的医疗护理工作秩序；不得发表涉医疗护理不当言论；不得翻阅病历及其他医疗护理文件；不得做出影响医疗护理安全的超护工照护范畴的事情。</w:t>
      </w:r>
    </w:p>
    <w:p w14:paraId="539684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9.护工不得向患者或家属索要任何钱物等，若有此类现象，一经查实将追究当事人及供应商相关责任。</w:t>
      </w:r>
    </w:p>
    <w:p w14:paraId="180AFB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10.供应商及护工不得做有损医院、科室声誉和利益的事情。护工若因与患方发生纠纷或自身工作失误给患方造成损失的，供应商应积极妥善处理，采购人不承担任何责任。</w:t>
      </w:r>
    </w:p>
    <w:p w14:paraId="5B6297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11.经考评不合格的护工，患者服务中心有权责令供应商予以更换。</w:t>
      </w:r>
    </w:p>
    <w:p w14:paraId="0682CA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供应商在采购人区域范围内开展生活护理项目管理活动时，其使用的印章、标识、标牌、各种宣传资料不得以采购人名义进行宣传；不得向患者和家属做出与采购人有隶属、代理等关系的误导性宣传；不得开展与采购人同类或存在竞争关系的业务相关服务项目；供应商在为采购人服务对象服务时不得私下将服务对象介绍到其他机构谋取利益；供应商应主动维护采购人的社会形象、信誉，不得在任何场所、任何时间散布、宣传有损采购人形象的言论及图文。（提供承诺函，格式自拟）</w:t>
      </w:r>
    </w:p>
    <w:p w14:paraId="55E0E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（六）其他要求</w:t>
      </w:r>
    </w:p>
    <w:p w14:paraId="3BE658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1.护工陪护服务收费标准及服务内容在医院主管部门备案。当护工公司拓展新的护工陪护服务内容和方式时，需向医院主管部门报请同意后方能开展。</w:t>
      </w:r>
    </w:p>
    <w:p w14:paraId="128BFE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2.护工陪护服务收费凭据：护工公司收取护工陪护服务费必须征得患者或家属的同意，签订护工陪护服务同意书。</w:t>
      </w:r>
    </w:p>
    <w:p w14:paraId="62AD32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3.护工公司需明码公示服务价格，统一向患者收取护工服务费，并开具正规收款凭证。</w:t>
      </w:r>
    </w:p>
    <w:p w14:paraId="10035F41">
      <w:pPr>
        <w:pStyle w:val="3"/>
        <w:adjustRightInd w:val="0"/>
        <w:snapToGrid w:val="0"/>
        <w:spacing w:before="0" w:after="0" w:line="400" w:lineRule="exact"/>
        <w:ind w:firstLine="482" w:firstLineChars="200"/>
        <w:outlineLvl w:val="9"/>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二、护工服务监管及考核</w:t>
      </w:r>
    </w:p>
    <w:p w14:paraId="1F09A3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医院有权对护工服务质量和管理进行监督检查及考核，依据《护工考核标准及评分细则》（附件2）对护工进行服务质量考核及满意度调查（附件3、4）。考核涵盖仪容仪表、文明礼仪、工作纪律、消毒隔离、个人卫生等多个维度，例如仪容仪表方面，未按要求着装、佩戴标识不规范等行为每次扣减1分；文明礼仪方面，对患者及家属态度冷硬顶每次扣减2分，泄露患者隐私每次扣减3分；消毒隔离方面，一项不符合要求扣2分；个人卫生方面，头发凌乱有异味、指甲未及时修剪等每发现一项扣1分。考核目标值≥90分，低1分扣100元，以此类推，考核结果提交至医院财务科执行扣罚，并要求护工针对问题立即整改。结合行业护理服务满意度达标标准，连续三次全院平均满意度达不到80分，医院有权解除双方合约关系。</w:t>
      </w:r>
    </w:p>
    <w:p w14:paraId="592627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护工在医疗服务范围内为患者提供服务时，若引发患者或家属投诉，将按医院相关规定予以处罚。被服务对象投诉至院内（护理部、医务科等科室），经核实为有效投诉的处罚500元/次；投诉至县卫健委处罚1000元/次；投诉至县委、县政府处罚2000元/次，投诉至市级处罚5000元/次，当月连续2次有效投诉或被媒体曝光1次的，在协议期限内累计3次有效投诉或被媒体曝光2次的，医院有权单方面解除合同。</w:t>
      </w:r>
    </w:p>
    <w:p w14:paraId="25117E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3.因护工陪护服务不当引发患者医疗纠纷，乙方除承担必需的医疗费用外，造成严重后果者，由乙方承担由此引起的一切后果（包括民事责任、刑事责任），同时医院有权解除双方合约关系。</w:t>
      </w:r>
    </w:p>
    <w:p w14:paraId="6A629D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4.未按合同约定多收取病人费用，除退还多收取的费用外，另处以10倍罚款。</w:t>
      </w:r>
    </w:p>
    <w:p w14:paraId="4C0441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5.未尽事宜由医院和中标方另行在合同中约定。</w:t>
      </w:r>
    </w:p>
    <w:p w14:paraId="08F4B6BB">
      <w:pPr>
        <w:pStyle w:val="3"/>
        <w:adjustRightInd w:val="0"/>
        <w:snapToGrid w:val="0"/>
        <w:spacing w:before="0" w:after="0" w:line="400" w:lineRule="exact"/>
        <w:ind w:firstLine="482" w:firstLineChars="200"/>
        <w:outlineLvl w:val="9"/>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三、公益性岗位服务监管及考核</w:t>
      </w:r>
    </w:p>
    <w:p w14:paraId="27197AB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院前、院内护工（担架工）考核管理办法</w:t>
      </w:r>
    </w:p>
    <w:p w14:paraId="408A48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为规范护工（担架工）管理，强化服务理念，确保院前急救工作顺利开展，经科室讨论研究，制定如下要求及考核办法。</w:t>
      </w:r>
    </w:p>
    <w:p w14:paraId="42F653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1.年龄55周岁以下（男女不限），身体素质良好，保证充沛的精力。</w:t>
      </w:r>
    </w:p>
    <w:p w14:paraId="58952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2.具备一定的沟通能力、应急应变能力及灵活度。</w:t>
      </w:r>
    </w:p>
    <w:p w14:paraId="415592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3.工作态度要端正，服从管理，勤劳且具备主动服务意识，急救部对不服从管理的人员有权将其退回陪护部，且该人员不得再从事本岗位工作。</w:t>
      </w:r>
    </w:p>
    <w:p w14:paraId="28E20E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需经过专业培训后方可上岗，培训内容涵盖相关规章制度、岗位职责、各类转运工具的正确使用、基础急救知识及技能（如心肺复苏、异物梗阻急救等）、不同类型患者的正确搬运方法，以及医护、司乘、护工间的团队协作要点。</w:t>
      </w:r>
    </w:p>
    <w:p w14:paraId="23D7D4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5.陪护部门每年要对所有护工（担架工）进行专业技能操作培训、考核，按照行业标准，每年相关培训考核不得少于2次，且每年至少组织1—2次统一考核。</w:t>
      </w:r>
    </w:p>
    <w:p w14:paraId="14EE62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6.急救部参与护工（担架工）的考核工作。</w:t>
      </w:r>
    </w:p>
    <w:p w14:paraId="583D6D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科主任、护士长每月对护工（担架工）按照考核标准进行综合素质考核，考核结果于下一月10日前反馈给后勤保障科。</w:t>
      </w:r>
    </w:p>
    <w:p w14:paraId="4C53808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22" w:firstLineChars="200"/>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护工（担架工）考核细则（100分）</w:t>
      </w:r>
    </w:p>
    <w:tbl>
      <w:tblPr>
        <w:tblStyle w:val="59"/>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3667"/>
        <w:gridCol w:w="603"/>
        <w:gridCol w:w="2277"/>
        <w:gridCol w:w="1181"/>
      </w:tblGrid>
      <w:tr w14:paraId="203C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5" w:type="dxa"/>
            <w:noWrap w:val="0"/>
            <w:vAlign w:val="center"/>
          </w:tcPr>
          <w:p w14:paraId="11F8E5E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w:t>
            </w:r>
          </w:p>
        </w:tc>
        <w:tc>
          <w:tcPr>
            <w:tcW w:w="3667" w:type="dxa"/>
            <w:noWrap w:val="0"/>
            <w:vAlign w:val="center"/>
          </w:tcPr>
          <w:p w14:paraId="2B8E8A5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考核细则</w:t>
            </w:r>
          </w:p>
        </w:tc>
        <w:tc>
          <w:tcPr>
            <w:tcW w:w="603" w:type="dxa"/>
            <w:noWrap w:val="0"/>
            <w:vAlign w:val="center"/>
          </w:tcPr>
          <w:p w14:paraId="65C7919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分值</w:t>
            </w:r>
          </w:p>
        </w:tc>
        <w:tc>
          <w:tcPr>
            <w:tcW w:w="2277" w:type="dxa"/>
            <w:noWrap w:val="0"/>
            <w:vAlign w:val="center"/>
          </w:tcPr>
          <w:p w14:paraId="79AE9B4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扣分标准</w:t>
            </w:r>
          </w:p>
        </w:tc>
        <w:tc>
          <w:tcPr>
            <w:tcW w:w="1181" w:type="dxa"/>
            <w:noWrap w:val="0"/>
            <w:vAlign w:val="center"/>
          </w:tcPr>
          <w:p w14:paraId="62D74C7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w:t>
            </w:r>
          </w:p>
        </w:tc>
      </w:tr>
      <w:tr w14:paraId="0673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85" w:type="dxa"/>
            <w:vMerge w:val="restart"/>
            <w:noWrap w:val="0"/>
            <w:vAlign w:val="center"/>
          </w:tcPr>
          <w:p w14:paraId="639848F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规章制度</w:t>
            </w:r>
          </w:p>
          <w:p w14:paraId="558FAB4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15分</w:t>
            </w:r>
          </w:p>
        </w:tc>
        <w:tc>
          <w:tcPr>
            <w:tcW w:w="3667" w:type="dxa"/>
            <w:noWrap w:val="0"/>
            <w:vAlign w:val="center"/>
          </w:tcPr>
          <w:p w14:paraId="38643B7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遵守医院相应规章制度，履行本岗位职责。</w:t>
            </w:r>
          </w:p>
        </w:tc>
        <w:tc>
          <w:tcPr>
            <w:tcW w:w="603" w:type="dxa"/>
            <w:noWrap w:val="0"/>
            <w:vAlign w:val="center"/>
          </w:tcPr>
          <w:p w14:paraId="0BEC75C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00AFB47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3AD764D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B91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3021BEC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0ABEC49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严格遵守劳动纪律，不迟到、不早退，24小时值班制，上班期间保持电话通畅、对讲机通畅，收到通知后及时回复。</w:t>
            </w:r>
          </w:p>
        </w:tc>
        <w:tc>
          <w:tcPr>
            <w:tcW w:w="603" w:type="dxa"/>
            <w:noWrap w:val="0"/>
            <w:vAlign w:val="center"/>
          </w:tcPr>
          <w:p w14:paraId="407D5DD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648A82E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1956E05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7F0E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685" w:type="dxa"/>
            <w:vMerge w:val="continue"/>
            <w:noWrap w:val="0"/>
            <w:vAlign w:val="center"/>
          </w:tcPr>
          <w:p w14:paraId="5CE8421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74436C6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服从科主任、护士长管理。</w:t>
            </w:r>
          </w:p>
        </w:tc>
        <w:tc>
          <w:tcPr>
            <w:tcW w:w="603" w:type="dxa"/>
            <w:noWrap w:val="0"/>
            <w:vAlign w:val="center"/>
          </w:tcPr>
          <w:p w14:paraId="74F7B39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746A938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7AF17E8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4E16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noWrap w:val="0"/>
            <w:vAlign w:val="center"/>
          </w:tcPr>
          <w:p w14:paraId="2C87CD4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仪表着装规范</w:t>
            </w:r>
          </w:p>
          <w:p w14:paraId="2CED4CE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4008BA0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规范着装，工作服干净整洁、佩戴胸牌，严禁穿拖鞋、特殊情况做好个人防护。</w:t>
            </w:r>
          </w:p>
        </w:tc>
        <w:tc>
          <w:tcPr>
            <w:tcW w:w="603" w:type="dxa"/>
            <w:noWrap w:val="0"/>
            <w:vAlign w:val="center"/>
          </w:tcPr>
          <w:p w14:paraId="169B92B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2EC3675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7D275AB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546D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noWrap w:val="0"/>
            <w:vAlign w:val="center"/>
          </w:tcPr>
          <w:p w14:paraId="0F7AA3B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文明礼仪</w:t>
            </w:r>
          </w:p>
          <w:p w14:paraId="55B7A00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6B896E5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规范用语，待人热情、礼貌，不讲有损医院形象、歧义的话语。</w:t>
            </w:r>
          </w:p>
        </w:tc>
        <w:tc>
          <w:tcPr>
            <w:tcW w:w="603" w:type="dxa"/>
            <w:noWrap w:val="0"/>
            <w:vAlign w:val="center"/>
          </w:tcPr>
          <w:p w14:paraId="3487047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C9AE29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一人一项不符合扣1分</w:t>
            </w:r>
          </w:p>
        </w:tc>
        <w:tc>
          <w:tcPr>
            <w:tcW w:w="1181" w:type="dxa"/>
            <w:noWrap w:val="0"/>
            <w:vAlign w:val="center"/>
          </w:tcPr>
          <w:p w14:paraId="410368A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36EB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5" w:type="dxa"/>
            <w:vMerge w:val="restart"/>
            <w:noWrap w:val="0"/>
            <w:vAlign w:val="center"/>
          </w:tcPr>
          <w:p w14:paraId="1A5E4F6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工作期间</w:t>
            </w:r>
          </w:p>
          <w:p w14:paraId="58A8860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行为规范</w:t>
            </w:r>
          </w:p>
          <w:p w14:paraId="2514EFF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70分</w:t>
            </w:r>
          </w:p>
        </w:tc>
        <w:tc>
          <w:tcPr>
            <w:tcW w:w="3667" w:type="dxa"/>
            <w:noWrap w:val="0"/>
            <w:vAlign w:val="center"/>
          </w:tcPr>
          <w:p w14:paraId="65EAE6A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接到调度通知后及时出车（3分钟内必须到达）。</w:t>
            </w:r>
          </w:p>
        </w:tc>
        <w:tc>
          <w:tcPr>
            <w:tcW w:w="603" w:type="dxa"/>
            <w:noWrap w:val="0"/>
            <w:vAlign w:val="center"/>
          </w:tcPr>
          <w:p w14:paraId="02F9DA0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3454F3A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357A17A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A51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85" w:type="dxa"/>
            <w:vMerge w:val="continue"/>
            <w:noWrap w:val="0"/>
            <w:vAlign w:val="center"/>
          </w:tcPr>
          <w:p w14:paraId="6B5A91C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5EA1BF8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上班期间不得有饮酒、车内吸烟、聚众聊天等不良行为。</w:t>
            </w:r>
          </w:p>
        </w:tc>
        <w:tc>
          <w:tcPr>
            <w:tcW w:w="603" w:type="dxa"/>
            <w:noWrap w:val="0"/>
            <w:vAlign w:val="center"/>
          </w:tcPr>
          <w:p w14:paraId="7341E2A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4CA371C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764A796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38FF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685" w:type="dxa"/>
            <w:vMerge w:val="continue"/>
            <w:noWrap w:val="0"/>
            <w:vAlign w:val="center"/>
          </w:tcPr>
          <w:p w14:paraId="04341F5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08B6150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不得随意拍摄患者、随意向他人提供患者病情、聚众讨论患者病情、侵犯病人隐私等不良行为。</w:t>
            </w:r>
          </w:p>
        </w:tc>
        <w:tc>
          <w:tcPr>
            <w:tcW w:w="603" w:type="dxa"/>
            <w:noWrap w:val="0"/>
            <w:vAlign w:val="center"/>
          </w:tcPr>
          <w:p w14:paraId="6A1DA19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4705B3D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59BE18E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9C1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685" w:type="dxa"/>
            <w:vMerge w:val="continue"/>
            <w:noWrap w:val="0"/>
            <w:vAlign w:val="center"/>
          </w:tcPr>
          <w:p w14:paraId="5FD6584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6E5E93F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上班前检查车载担架、推车、约束带等是否处于备用状态，转运工具是否清洁；每次出车任务结束、院内转运患者后及时整理好转运工具备用。</w:t>
            </w:r>
          </w:p>
        </w:tc>
        <w:tc>
          <w:tcPr>
            <w:tcW w:w="603" w:type="dxa"/>
            <w:noWrap w:val="0"/>
            <w:vAlign w:val="center"/>
          </w:tcPr>
          <w:p w14:paraId="55FD67E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55F0E88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32A45A3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1"/>
                <w:szCs w:val="21"/>
                <w:highlight w:val="none"/>
                <w:lang w:val="en-US" w:eastAsia="zh-CN" w:bidi="ar-SA"/>
              </w:rPr>
            </w:pPr>
          </w:p>
        </w:tc>
      </w:tr>
      <w:tr w14:paraId="64CE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3B91340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71A238D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定期清洁（每周2—3次）转运工具、特殊情况及时清理；使用后及时定位放置；知晓转运工具的去向，未在位的及时找回；故障时及时告知总务值班护士或护士长</w:t>
            </w:r>
            <w:r>
              <w:rPr>
                <w:rFonts w:hint="eastAsia" w:cs="宋体"/>
                <w:color w:val="auto"/>
                <w:kern w:val="2"/>
                <w:sz w:val="21"/>
                <w:szCs w:val="21"/>
                <w:highlight w:val="none"/>
                <w:lang w:val="en-US" w:eastAsia="zh-CN" w:bidi="ar-SA"/>
              </w:rPr>
              <w:t>，由其</w:t>
            </w:r>
            <w:r>
              <w:rPr>
                <w:rFonts w:hint="eastAsia" w:ascii="宋体" w:hAnsi="宋体" w:eastAsia="宋体" w:cs="宋体"/>
                <w:color w:val="auto"/>
                <w:kern w:val="2"/>
                <w:sz w:val="21"/>
                <w:szCs w:val="21"/>
                <w:highlight w:val="none"/>
                <w:lang w:val="en-US" w:eastAsia="zh-CN" w:bidi="ar-SA"/>
              </w:rPr>
              <w:t>通知相应人员进行维修，故障推车及时做好标记。</w:t>
            </w:r>
          </w:p>
        </w:tc>
        <w:tc>
          <w:tcPr>
            <w:tcW w:w="603" w:type="dxa"/>
            <w:noWrap w:val="0"/>
            <w:vAlign w:val="center"/>
          </w:tcPr>
          <w:p w14:paraId="69F4156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1F0FC02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1D1D6584">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6311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noWrap w:val="0"/>
            <w:vAlign w:val="center"/>
          </w:tcPr>
          <w:p w14:paraId="5967792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4EFC960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禁止私自向患者及家属收受费用、礼品等不良行为。</w:t>
            </w:r>
          </w:p>
        </w:tc>
        <w:tc>
          <w:tcPr>
            <w:tcW w:w="603" w:type="dxa"/>
            <w:noWrap w:val="0"/>
            <w:vAlign w:val="center"/>
          </w:tcPr>
          <w:p w14:paraId="2824CBA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25B05EA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275210A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7440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85" w:type="dxa"/>
            <w:vMerge w:val="continue"/>
            <w:noWrap w:val="0"/>
            <w:vAlign w:val="center"/>
          </w:tcPr>
          <w:p w14:paraId="301FC52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52617AC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正确使用各类搬运工具，不得拖、拉、拽等粗鲁行为。</w:t>
            </w:r>
          </w:p>
        </w:tc>
        <w:tc>
          <w:tcPr>
            <w:tcW w:w="603" w:type="dxa"/>
            <w:noWrap w:val="0"/>
            <w:vAlign w:val="center"/>
          </w:tcPr>
          <w:p w14:paraId="3CF6029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2789F1E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528D9BF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1C98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685" w:type="dxa"/>
            <w:vMerge w:val="continue"/>
            <w:noWrap w:val="0"/>
            <w:vAlign w:val="center"/>
          </w:tcPr>
          <w:p w14:paraId="7AB5892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6859E2F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根据患者具体情况，在医生、护士指导下规范搬运患者（尤其是肢体无力、颈椎、脊柱外伤等）</w:t>
            </w:r>
            <w:r>
              <w:rPr>
                <w:rFonts w:hint="eastAsia" w:cs="宋体"/>
                <w:color w:val="auto"/>
                <w:kern w:val="2"/>
                <w:sz w:val="21"/>
                <w:szCs w:val="21"/>
                <w:highlight w:val="none"/>
                <w:lang w:val="en-US" w:eastAsia="zh-CN" w:bidi="ar-SA"/>
              </w:rPr>
              <w:t>，避免</w:t>
            </w:r>
            <w:r>
              <w:rPr>
                <w:rFonts w:hint="eastAsia" w:ascii="宋体" w:hAnsi="宋体" w:eastAsia="宋体" w:cs="宋体"/>
                <w:color w:val="auto"/>
                <w:kern w:val="2"/>
                <w:sz w:val="21"/>
                <w:szCs w:val="21"/>
                <w:highlight w:val="none"/>
                <w:lang w:val="en-US" w:eastAsia="zh-CN" w:bidi="ar-SA"/>
              </w:rPr>
              <w:t>造成二次伤害。</w:t>
            </w:r>
          </w:p>
        </w:tc>
        <w:tc>
          <w:tcPr>
            <w:tcW w:w="603" w:type="dxa"/>
            <w:noWrap w:val="0"/>
            <w:vAlign w:val="center"/>
          </w:tcPr>
          <w:p w14:paraId="72F8AF3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2277" w:type="dxa"/>
            <w:noWrap w:val="0"/>
            <w:vAlign w:val="center"/>
          </w:tcPr>
          <w:p w14:paraId="658E37E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一人一项不符合扣2分</w:t>
            </w:r>
          </w:p>
        </w:tc>
        <w:tc>
          <w:tcPr>
            <w:tcW w:w="1181" w:type="dxa"/>
            <w:noWrap w:val="0"/>
            <w:vAlign w:val="center"/>
          </w:tcPr>
          <w:p w14:paraId="230F44C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AA2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685" w:type="dxa"/>
            <w:vMerge w:val="continue"/>
            <w:noWrap w:val="0"/>
            <w:vAlign w:val="center"/>
          </w:tcPr>
          <w:p w14:paraId="1B4106E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2333133D">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不得干预、参与任何医疗行为。</w:t>
            </w:r>
          </w:p>
        </w:tc>
        <w:tc>
          <w:tcPr>
            <w:tcW w:w="603" w:type="dxa"/>
            <w:noWrap w:val="0"/>
            <w:vAlign w:val="center"/>
          </w:tcPr>
          <w:p w14:paraId="57E8C09B">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40486BA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6193992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16B5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685" w:type="dxa"/>
            <w:vMerge w:val="continue"/>
            <w:noWrap w:val="0"/>
            <w:vAlign w:val="center"/>
          </w:tcPr>
          <w:p w14:paraId="39570DB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3556D6A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现场服从医护人员调配，与医生、护士、司机做好团队协作工作。</w:t>
            </w:r>
          </w:p>
        </w:tc>
        <w:tc>
          <w:tcPr>
            <w:tcW w:w="603" w:type="dxa"/>
            <w:noWrap w:val="0"/>
            <w:vAlign w:val="center"/>
          </w:tcPr>
          <w:p w14:paraId="3E2169DC">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772D6D3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25B28A6A">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0B28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85" w:type="dxa"/>
            <w:vMerge w:val="continue"/>
            <w:noWrap w:val="0"/>
            <w:vAlign w:val="center"/>
          </w:tcPr>
          <w:p w14:paraId="2DD0B08F">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c>
          <w:tcPr>
            <w:tcW w:w="3667" w:type="dxa"/>
            <w:noWrap w:val="0"/>
            <w:vAlign w:val="center"/>
          </w:tcPr>
          <w:p w14:paraId="5DC498C0">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因个人操作不当、其他不可控因素导致出现不良事件，应及时主动上报陪护管理员或科主任、护士长，不得隐瞒。</w:t>
            </w:r>
          </w:p>
        </w:tc>
        <w:tc>
          <w:tcPr>
            <w:tcW w:w="603" w:type="dxa"/>
            <w:noWrap w:val="0"/>
            <w:vAlign w:val="center"/>
          </w:tcPr>
          <w:p w14:paraId="13A76DB9">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5B5E2141">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一人一项不符合扣5分</w:t>
            </w:r>
          </w:p>
        </w:tc>
        <w:tc>
          <w:tcPr>
            <w:tcW w:w="1181" w:type="dxa"/>
            <w:noWrap w:val="0"/>
            <w:vAlign w:val="center"/>
          </w:tcPr>
          <w:p w14:paraId="56721E52">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r w14:paraId="22E5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85" w:type="dxa"/>
            <w:noWrap w:val="0"/>
            <w:vAlign w:val="center"/>
          </w:tcPr>
          <w:p w14:paraId="1F2E30EE">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定期开展专业技能培训</w:t>
            </w:r>
          </w:p>
          <w:p w14:paraId="23D33055">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20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5分</w:t>
            </w:r>
          </w:p>
        </w:tc>
        <w:tc>
          <w:tcPr>
            <w:tcW w:w="3667" w:type="dxa"/>
            <w:noWrap w:val="0"/>
            <w:vAlign w:val="center"/>
          </w:tcPr>
          <w:p w14:paraId="4A732D06">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210" w:firstLineChars="1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每年陪护部门对护工开展集中培训1—2次，并考核。</w:t>
            </w:r>
          </w:p>
        </w:tc>
        <w:tc>
          <w:tcPr>
            <w:tcW w:w="603" w:type="dxa"/>
            <w:noWrap w:val="0"/>
            <w:vAlign w:val="center"/>
          </w:tcPr>
          <w:p w14:paraId="30054188">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2277" w:type="dxa"/>
            <w:noWrap w:val="0"/>
            <w:vAlign w:val="center"/>
          </w:tcPr>
          <w:p w14:paraId="718ED8C7">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一项不符合扣5分</w:t>
            </w:r>
          </w:p>
        </w:tc>
        <w:tc>
          <w:tcPr>
            <w:tcW w:w="1181" w:type="dxa"/>
            <w:noWrap w:val="0"/>
            <w:vAlign w:val="center"/>
          </w:tcPr>
          <w:p w14:paraId="7E1E9853">
            <w:pPr>
              <w:pStyle w:val="51"/>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1"/>
                <w:szCs w:val="21"/>
                <w:highlight w:val="none"/>
                <w:lang w:val="en-US" w:eastAsia="zh-CN" w:bidi="ar-SA"/>
              </w:rPr>
            </w:pPr>
          </w:p>
        </w:tc>
      </w:tr>
    </w:tbl>
    <w:p w14:paraId="21D2F5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考核说明：考核得分低于90分（不含90分），每扣1分扣除保证金100元；低于80分（不含80分），扣除保证金2000元，并要求提交书面整改方案且限期落实；连续三次考核得分低于80分的，直接解除协议。</w:t>
      </w:r>
    </w:p>
    <w:p w14:paraId="4D60B631">
      <w:pPr>
        <w:pStyle w:val="3"/>
        <w:adjustRightInd w:val="0"/>
        <w:snapToGrid w:val="0"/>
        <w:spacing w:before="0" w:after="0" w:line="400" w:lineRule="exact"/>
        <w:ind w:firstLine="482" w:firstLineChars="200"/>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四、其他</w:t>
      </w:r>
    </w:p>
    <w:p w14:paraId="40A6E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TW"/>
        </w:rPr>
        <w:t>1.</w:t>
      </w:r>
      <w:r>
        <w:rPr>
          <w:rFonts w:hint="eastAsia" w:ascii="宋体" w:hAnsi="宋体" w:eastAsia="宋体" w:cs="宋体"/>
          <w:color w:val="auto"/>
          <w:sz w:val="24"/>
          <w:szCs w:val="24"/>
          <w:highlight w:val="none"/>
          <w:lang w:val="en-US" w:eastAsia="zh-CN"/>
        </w:rPr>
        <w:t>风险责任认定</w:t>
      </w:r>
    </w:p>
    <w:p w14:paraId="41CE5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乙方所聘用人员在工作过程中，若导致患者受到伤害或利益受损，相关事宜均由乙方负责处理，并承担全部法律责任及经济赔偿。乙方及其所聘用人员在工作中因各种原因受到伤害或发生意外的，由乙方承担全部责任及经济赔偿。乙方</w:t>
      </w:r>
      <w:r>
        <w:rPr>
          <w:rFonts w:hint="eastAsia" w:ascii="宋体" w:hAnsi="宋体" w:eastAsia="宋体" w:cs="宋体"/>
          <w:color w:val="auto"/>
          <w:sz w:val="24"/>
          <w:szCs w:val="24"/>
          <w:highlight w:val="none"/>
          <w:lang w:val="en-US" w:eastAsia="zh-TW"/>
        </w:rPr>
        <w:t>及所聘用的人员因违反法律法规及医院规章制度造成</w:t>
      </w:r>
      <w:r>
        <w:rPr>
          <w:rFonts w:hint="eastAsia" w:ascii="宋体" w:hAnsi="宋体" w:cs="宋体"/>
          <w:color w:val="auto"/>
          <w:sz w:val="24"/>
          <w:szCs w:val="24"/>
          <w:highlight w:val="none"/>
          <w:lang w:val="en-US" w:eastAsia="zh-CN"/>
        </w:rPr>
        <w:t>损害的</w:t>
      </w:r>
      <w:r>
        <w:rPr>
          <w:rFonts w:hint="eastAsia" w:ascii="宋体" w:hAnsi="宋体" w:eastAsia="宋体" w:cs="宋体"/>
          <w:color w:val="auto"/>
          <w:sz w:val="24"/>
          <w:szCs w:val="24"/>
          <w:highlight w:val="none"/>
          <w:lang w:val="en-US" w:eastAsia="zh-CN"/>
        </w:rPr>
        <w:t>，由</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TW"/>
        </w:rPr>
        <w:t>承担责任，</w:t>
      </w:r>
      <w:r>
        <w:rPr>
          <w:rFonts w:hint="eastAsia" w:ascii="宋体" w:hAnsi="宋体" w:eastAsia="宋体" w:cs="宋体"/>
          <w:color w:val="auto"/>
          <w:sz w:val="24"/>
          <w:szCs w:val="24"/>
          <w:highlight w:val="none"/>
          <w:lang w:val="en-US" w:eastAsia="zh-CN"/>
        </w:rPr>
        <w:t>医院</w:t>
      </w:r>
      <w:r>
        <w:rPr>
          <w:rFonts w:hint="eastAsia" w:ascii="宋体" w:hAnsi="宋体" w:eastAsia="宋体" w:cs="宋体"/>
          <w:color w:val="auto"/>
          <w:sz w:val="24"/>
          <w:szCs w:val="24"/>
          <w:highlight w:val="none"/>
          <w:lang w:val="en-US" w:eastAsia="zh-TW"/>
        </w:rPr>
        <w:t>免责。</w:t>
      </w:r>
    </w:p>
    <w:p w14:paraId="5378A6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TW"/>
        </w:rPr>
        <w:t>.</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TW"/>
        </w:rPr>
        <w:t>服务所需的护工服装、</w:t>
      </w:r>
      <w:r>
        <w:rPr>
          <w:rFonts w:hint="eastAsia" w:ascii="宋体" w:hAnsi="宋体" w:eastAsia="宋体" w:cs="宋体"/>
          <w:color w:val="auto"/>
          <w:sz w:val="24"/>
          <w:szCs w:val="24"/>
          <w:highlight w:val="none"/>
          <w:lang w:val="en-US" w:eastAsia="zh-CN"/>
        </w:rPr>
        <w:t>护理用具、</w:t>
      </w:r>
      <w:r>
        <w:rPr>
          <w:rFonts w:hint="eastAsia" w:ascii="宋体" w:hAnsi="宋体" w:eastAsia="宋体" w:cs="宋体"/>
          <w:color w:val="auto"/>
          <w:sz w:val="24"/>
          <w:szCs w:val="24"/>
          <w:highlight w:val="none"/>
          <w:lang w:val="en-US" w:eastAsia="zh-TW"/>
        </w:rPr>
        <w:t>办公设施由</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TW"/>
        </w:rPr>
        <w:t>自行提供。</w:t>
      </w:r>
    </w:p>
    <w:p w14:paraId="1619D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auto"/>
          <w:highlight w:val="none"/>
          <w:lang w:val="en-US" w:eastAsia="zh-CN"/>
        </w:rPr>
      </w:pPr>
      <w:r>
        <w:rPr>
          <w:rFonts w:hint="eastAsia" w:ascii="宋体" w:hAnsi="宋体" w:eastAsia="宋体" w:cs="宋体"/>
          <w:color w:val="auto"/>
          <w:sz w:val="24"/>
          <w:szCs w:val="24"/>
          <w:highlight w:val="none"/>
          <w:lang w:val="en-US" w:eastAsia="zh-CN"/>
        </w:rPr>
        <w:t>3.医院提供科室</w:t>
      </w:r>
      <w:r>
        <w:rPr>
          <w:rFonts w:hint="eastAsia" w:ascii="宋体" w:hAnsi="宋体" w:eastAsia="宋体" w:cs="宋体"/>
          <w:color w:val="auto"/>
          <w:sz w:val="24"/>
          <w:szCs w:val="24"/>
          <w:highlight w:val="none"/>
          <w:lang w:val="en-US" w:eastAsia="zh-TW"/>
        </w:rPr>
        <w:t>送药篮、标本箱供</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TW"/>
        </w:rPr>
        <w:t>进行药品、标本运送工作；</w:t>
      </w:r>
      <w:r>
        <w:rPr>
          <w:rFonts w:hint="eastAsia" w:ascii="宋体" w:hAnsi="宋体" w:eastAsia="宋体" w:cs="宋体"/>
          <w:color w:val="auto"/>
          <w:sz w:val="24"/>
          <w:szCs w:val="24"/>
          <w:highlight w:val="none"/>
          <w:lang w:val="en-US" w:eastAsia="zh-CN"/>
        </w:rPr>
        <w:t>提供科室轮椅、平车供</w:t>
      </w:r>
      <w:r>
        <w:rPr>
          <w:rFonts w:hint="eastAsia" w:ascii="宋体" w:hAnsi="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eastAsia="zh-CN"/>
        </w:rPr>
        <w:t>护送患者检查治疗使用，由医院负责车辆正常维修。</w:t>
      </w:r>
      <w:r>
        <w:rPr>
          <w:rFonts w:hint="eastAsia" w:ascii="宋体" w:hAnsi="宋体" w:cs="宋体"/>
          <w:color w:val="auto"/>
          <w:sz w:val="24"/>
          <w:szCs w:val="24"/>
          <w:highlight w:val="none"/>
          <w:lang w:val="en-US" w:eastAsia="zh-CN"/>
        </w:rPr>
        <w:t>乙方应爱护使用。若因护工人员操作不当或人为损坏，由乙方负责赔偿；若因设备正常损耗或非乙方原因造成的损坏，由医院负责维修。</w:t>
      </w:r>
    </w:p>
    <w:p w14:paraId="4619B7D3">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0"/>
        <w:rPr>
          <w:b/>
          <w:bCs/>
          <w:color w:val="auto"/>
          <w:highlight w:val="none"/>
        </w:rPr>
      </w:pPr>
      <w:bookmarkStart w:id="298" w:name="_Toc27072"/>
      <w:bookmarkStart w:id="299" w:name="_Toc7737"/>
      <w:r>
        <w:rPr>
          <w:rFonts w:hint="eastAsia"/>
          <w:b/>
          <w:bCs/>
          <w:color w:val="auto"/>
          <w:highlight w:val="none"/>
          <w:lang w:val="en-US" w:eastAsia="zh-CN"/>
        </w:rPr>
        <w:t xml:space="preserve">第四条 </w:t>
      </w:r>
      <w:r>
        <w:rPr>
          <w:rFonts w:hint="eastAsia"/>
          <w:b/>
          <w:bCs/>
          <w:color w:val="auto"/>
          <w:highlight w:val="none"/>
        </w:rPr>
        <w:t>知识产权</w:t>
      </w:r>
      <w:bookmarkEnd w:id="298"/>
      <w:bookmarkEnd w:id="299"/>
    </w:p>
    <w:p w14:paraId="18BFBD6A">
      <w:pPr>
        <w:keepNext w:val="0"/>
        <w:keepLines w:val="0"/>
        <w:pageBreakBefore w:val="0"/>
        <w:widowControl w:val="0"/>
        <w:tabs>
          <w:tab w:val="left" w:pos="1440"/>
        </w:tabs>
        <w:kinsoku/>
        <w:wordWrap/>
        <w:overflowPunct/>
        <w:topLinePunct w:val="0"/>
        <w:autoSpaceDE/>
        <w:autoSpaceDN/>
        <w:bidi w:val="0"/>
        <w:snapToGrid/>
        <w:spacing w:line="360" w:lineRule="auto"/>
        <w:ind w:firstLine="480" w:firstLineChars="200"/>
        <w:rPr>
          <w:rFonts w:hint="eastAsia" w:hAnsi="宋体"/>
          <w:color w:val="auto"/>
          <w:sz w:val="24"/>
          <w:highlight w:val="none"/>
        </w:rPr>
      </w:pPr>
      <w:r>
        <w:rPr>
          <w:rFonts w:hint="eastAsia" w:hAnsi="宋体"/>
          <w:color w:val="auto"/>
          <w:sz w:val="24"/>
          <w:highlight w:val="none"/>
        </w:rPr>
        <w:t>乙方应保证所提供的服务或其任何一部分均不会侵犯任何第三方的专利权、商标权或著作权。</w:t>
      </w:r>
    </w:p>
    <w:p w14:paraId="064A0E12">
      <w:pPr>
        <w:keepNext w:val="0"/>
        <w:keepLines w:val="0"/>
        <w:pageBreakBefore w:val="0"/>
        <w:widowControl w:val="0"/>
        <w:tabs>
          <w:tab w:val="left" w:pos="1440"/>
        </w:tabs>
        <w:kinsoku/>
        <w:wordWrap/>
        <w:overflowPunct/>
        <w:topLinePunct w:val="0"/>
        <w:autoSpaceDE/>
        <w:autoSpaceDN/>
        <w:bidi w:val="0"/>
        <w:snapToGrid/>
        <w:spacing w:line="360" w:lineRule="auto"/>
        <w:ind w:firstLine="562" w:firstLineChars="200"/>
        <w:outlineLvl w:val="0"/>
        <w:rPr>
          <w:b/>
          <w:bCs/>
          <w:color w:val="auto"/>
          <w:highlight w:val="none"/>
        </w:rPr>
      </w:pPr>
      <w:bookmarkStart w:id="300" w:name="_Toc14926"/>
      <w:bookmarkStart w:id="301" w:name="_Toc10507"/>
      <w:r>
        <w:rPr>
          <w:rFonts w:hint="eastAsia"/>
          <w:b/>
          <w:bCs/>
          <w:color w:val="auto"/>
          <w:highlight w:val="none"/>
          <w:lang w:val="en-US" w:eastAsia="zh-CN"/>
        </w:rPr>
        <w:t xml:space="preserve">第五条 </w:t>
      </w:r>
      <w:r>
        <w:rPr>
          <w:rFonts w:hint="eastAsia"/>
          <w:b/>
          <w:bCs/>
          <w:color w:val="auto"/>
          <w:highlight w:val="none"/>
        </w:rPr>
        <w:t>无产权瑕疵条款</w:t>
      </w:r>
      <w:bookmarkEnd w:id="300"/>
      <w:bookmarkEnd w:id="301"/>
    </w:p>
    <w:p w14:paraId="45E0BF08">
      <w:pPr>
        <w:keepNext w:val="0"/>
        <w:keepLines w:val="0"/>
        <w:pageBreakBefore w:val="0"/>
        <w:widowControl w:val="0"/>
        <w:tabs>
          <w:tab w:val="left" w:pos="1440"/>
        </w:tabs>
        <w:kinsoku/>
        <w:wordWrap/>
        <w:overflowPunct/>
        <w:topLinePunct w:val="0"/>
        <w:autoSpaceDE/>
        <w:autoSpaceDN/>
        <w:bidi w:val="0"/>
        <w:snapToGrid/>
        <w:spacing w:line="360" w:lineRule="auto"/>
        <w:ind w:firstLine="480" w:firstLineChars="200"/>
        <w:rPr>
          <w:rFonts w:hint="eastAsia" w:hAnsi="宋体"/>
          <w:color w:val="auto"/>
          <w:sz w:val="24"/>
          <w:highlight w:val="none"/>
        </w:rPr>
      </w:pPr>
      <w:r>
        <w:rPr>
          <w:rFonts w:hint="eastAsia" w:hAnsi="宋体"/>
          <w:color w:val="auto"/>
          <w:sz w:val="24"/>
          <w:highlight w:val="none"/>
          <w:lang w:eastAsia="zh-CN"/>
        </w:rPr>
        <w:t>乙方保证所提供服务的相关权益完全归乙方所有，且不存在任何抵押、查封等产权瑕疵。</w:t>
      </w:r>
      <w:r>
        <w:rPr>
          <w:rFonts w:hint="eastAsia" w:hAnsi="宋体"/>
          <w:color w:val="auto"/>
          <w:sz w:val="24"/>
          <w:highlight w:val="none"/>
        </w:rPr>
        <w:t>如有产权瑕疵的，视为乙方违约。乙方应负担由此而产生的一切损失。</w:t>
      </w:r>
    </w:p>
    <w:p w14:paraId="2494E5E8">
      <w:pPr>
        <w:keepNext w:val="0"/>
        <w:keepLines w:val="0"/>
        <w:pageBreakBefore w:val="0"/>
        <w:widowControl w:val="0"/>
        <w:tabs>
          <w:tab w:val="left" w:pos="1440"/>
        </w:tabs>
        <w:kinsoku/>
        <w:wordWrap/>
        <w:overflowPunct/>
        <w:topLinePunct w:val="0"/>
        <w:autoSpaceDE/>
        <w:autoSpaceDN/>
        <w:bidi w:val="0"/>
        <w:snapToGrid/>
        <w:spacing w:line="360" w:lineRule="auto"/>
        <w:ind w:firstLine="562" w:firstLineChars="200"/>
        <w:outlineLvl w:val="0"/>
        <w:rPr>
          <w:b/>
          <w:bCs/>
          <w:color w:val="auto"/>
          <w:highlight w:val="none"/>
        </w:rPr>
      </w:pPr>
      <w:bookmarkStart w:id="302" w:name="_Toc17042"/>
      <w:bookmarkStart w:id="303" w:name="_Toc969"/>
      <w:r>
        <w:rPr>
          <w:rFonts w:hint="eastAsia"/>
          <w:b/>
          <w:bCs/>
          <w:color w:val="auto"/>
          <w:highlight w:val="none"/>
          <w:lang w:val="en-US" w:eastAsia="zh-CN"/>
        </w:rPr>
        <w:t xml:space="preserve">第六条 </w:t>
      </w:r>
      <w:r>
        <w:rPr>
          <w:rFonts w:hint="eastAsia"/>
          <w:b/>
          <w:bCs/>
          <w:color w:val="auto"/>
          <w:highlight w:val="none"/>
        </w:rPr>
        <w:t>履约保证金</w:t>
      </w:r>
      <w:bookmarkEnd w:id="302"/>
      <w:bookmarkEnd w:id="303"/>
    </w:p>
    <w:p w14:paraId="21CA67F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imes New Roman" w:hAnsi="宋体" w:eastAsia="宋体" w:cs="Times New Roman"/>
          <w:bCs/>
          <w:color w:val="auto"/>
          <w:sz w:val="24"/>
          <w:highlight w:val="none"/>
        </w:rPr>
      </w:pPr>
      <w:r>
        <w:rPr>
          <w:rFonts w:hint="eastAsia" w:hAnsi="宋体" w:cs="Times New Roman"/>
          <w:bCs/>
          <w:color w:val="auto"/>
          <w:sz w:val="24"/>
          <w:highlight w:val="none"/>
          <w:lang w:eastAsia="zh-CN"/>
        </w:rPr>
        <w:t>在履行合同前或续签合同前，一次性向甲方交纳</w:t>
      </w:r>
      <w:r>
        <w:rPr>
          <w:rFonts w:hint="eastAsia" w:hAnsi="宋体" w:cs="Times New Roman"/>
          <w:bCs/>
          <w:color w:val="auto"/>
          <w:sz w:val="24"/>
          <w:highlight w:val="none"/>
          <w:lang w:val="en-US" w:eastAsia="zh-CN"/>
        </w:rPr>
        <w:t>1</w:t>
      </w:r>
      <w:r>
        <w:rPr>
          <w:rFonts w:hint="eastAsia" w:hAnsi="宋体" w:cs="Times New Roman"/>
          <w:bCs/>
          <w:color w:val="auto"/>
          <w:sz w:val="24"/>
          <w:highlight w:val="none"/>
          <w:lang w:eastAsia="zh-CN"/>
        </w:rPr>
        <w:t>万元的履约保证金（该金额符合相关规定，续签合同时上一年度履约保证金可顺延到下一年度），履约保证金作为违约金的一部分，用于补偿甲方因乙方不能履行合同义务而蒙受的损失。</w:t>
      </w:r>
      <w:r>
        <w:rPr>
          <w:rFonts w:hint="eastAsia" w:ascii="Times New Roman" w:hAnsi="宋体" w:eastAsia="宋体" w:cs="Times New Roman"/>
          <w:bCs/>
          <w:color w:val="auto"/>
          <w:sz w:val="24"/>
          <w:highlight w:val="none"/>
          <w:lang w:eastAsia="zh-CN"/>
        </w:rPr>
        <w:t>履约保证金主要</w:t>
      </w:r>
      <w:r>
        <w:rPr>
          <w:rFonts w:hint="eastAsia" w:ascii="Times New Roman" w:hAnsi="宋体" w:eastAsia="宋体" w:cs="Times New Roman"/>
          <w:bCs/>
          <w:color w:val="auto"/>
          <w:sz w:val="24"/>
          <w:highlight w:val="none"/>
        </w:rPr>
        <w:t>用于</w:t>
      </w:r>
      <w:r>
        <w:rPr>
          <w:rFonts w:hint="eastAsia" w:ascii="Times New Roman" w:hAnsi="宋体" w:eastAsia="宋体" w:cs="Times New Roman"/>
          <w:bCs/>
          <w:color w:val="auto"/>
          <w:sz w:val="24"/>
          <w:highlight w:val="none"/>
          <w:lang w:eastAsia="zh-CN"/>
        </w:rPr>
        <w:t>乙方</w:t>
      </w:r>
      <w:r>
        <w:rPr>
          <w:rFonts w:hint="eastAsia" w:ascii="Times New Roman" w:hAnsi="宋体" w:eastAsia="宋体" w:cs="Times New Roman"/>
          <w:bCs/>
          <w:color w:val="auto"/>
          <w:sz w:val="24"/>
          <w:highlight w:val="none"/>
        </w:rPr>
        <w:t>与客户出现</w:t>
      </w:r>
      <w:r>
        <w:rPr>
          <w:rFonts w:hint="eastAsia" w:ascii="Times New Roman" w:hAnsi="宋体" w:eastAsia="宋体" w:cs="Times New Roman"/>
          <w:bCs/>
          <w:color w:val="auto"/>
          <w:sz w:val="24"/>
          <w:highlight w:val="none"/>
          <w:lang w:eastAsia="zh-CN"/>
        </w:rPr>
        <w:t>纠纷</w:t>
      </w:r>
      <w:r>
        <w:rPr>
          <w:rFonts w:hint="eastAsia" w:hAnsi="宋体" w:cs="Times New Roman"/>
          <w:bCs/>
          <w:color w:val="auto"/>
          <w:sz w:val="24"/>
          <w:highlight w:val="none"/>
          <w:lang w:eastAsia="zh-CN"/>
        </w:rPr>
        <w:t>、</w:t>
      </w:r>
      <w:r>
        <w:rPr>
          <w:rFonts w:hint="eastAsia" w:ascii="Times New Roman" w:hAnsi="宋体" w:eastAsia="宋体" w:cs="Times New Roman"/>
          <w:bCs/>
          <w:color w:val="auto"/>
          <w:sz w:val="24"/>
          <w:highlight w:val="none"/>
        </w:rPr>
        <w:t>不及时履行相应责任、</w:t>
      </w:r>
      <w:r>
        <w:rPr>
          <w:rFonts w:hint="eastAsia" w:ascii="Times New Roman" w:hAnsi="宋体" w:eastAsia="宋体" w:cs="Times New Roman"/>
          <w:bCs/>
          <w:color w:val="auto"/>
          <w:sz w:val="24"/>
          <w:highlight w:val="none"/>
          <w:lang w:eastAsia="zh-CN"/>
        </w:rPr>
        <w:t>调解纠纷</w:t>
      </w:r>
      <w:r>
        <w:rPr>
          <w:rFonts w:hint="eastAsia" w:ascii="Times New Roman" w:hAnsi="宋体" w:eastAsia="宋体" w:cs="Times New Roman"/>
          <w:bCs/>
          <w:color w:val="auto"/>
          <w:sz w:val="24"/>
          <w:highlight w:val="none"/>
        </w:rPr>
        <w:t>，由此产生的相关费用，</w:t>
      </w:r>
      <w:r>
        <w:rPr>
          <w:rFonts w:hint="eastAsia" w:ascii="Times New Roman" w:hAnsi="宋体" w:eastAsia="宋体" w:cs="Times New Roman"/>
          <w:bCs/>
          <w:color w:val="auto"/>
          <w:sz w:val="24"/>
          <w:highlight w:val="none"/>
          <w:lang w:eastAsia="zh-CN"/>
        </w:rPr>
        <w:t>甲方</w:t>
      </w:r>
      <w:r>
        <w:rPr>
          <w:rFonts w:hint="eastAsia" w:ascii="Times New Roman" w:hAnsi="宋体" w:eastAsia="宋体" w:cs="Times New Roman"/>
          <w:bCs/>
          <w:color w:val="auto"/>
          <w:sz w:val="24"/>
          <w:highlight w:val="none"/>
        </w:rPr>
        <w:t>先行在履约保证金里</w:t>
      </w:r>
      <w:r>
        <w:rPr>
          <w:rFonts w:hint="eastAsia" w:hAnsi="宋体" w:cs="Times New Roman"/>
          <w:bCs/>
          <w:color w:val="auto"/>
          <w:sz w:val="24"/>
          <w:highlight w:val="none"/>
          <w:lang w:val="en-US" w:eastAsia="zh-CN"/>
        </w:rPr>
        <w:t>扣除</w:t>
      </w:r>
      <w:r>
        <w:rPr>
          <w:rFonts w:hint="eastAsia" w:ascii="Times New Roman" w:hAnsi="宋体" w:eastAsia="宋体" w:cs="Times New Roman"/>
          <w:bCs/>
          <w:color w:val="auto"/>
          <w:sz w:val="24"/>
          <w:highlight w:val="none"/>
        </w:rPr>
        <w:t>，超出范围</w:t>
      </w:r>
      <w:r>
        <w:rPr>
          <w:rFonts w:hint="eastAsia" w:ascii="Times New Roman" w:hAnsi="宋体" w:eastAsia="宋体" w:cs="Times New Roman"/>
          <w:bCs/>
          <w:color w:val="auto"/>
          <w:sz w:val="24"/>
          <w:highlight w:val="none"/>
          <w:lang w:eastAsia="zh-CN"/>
        </w:rPr>
        <w:t>的金额</w:t>
      </w:r>
      <w:r>
        <w:rPr>
          <w:rFonts w:hint="eastAsia" w:ascii="Times New Roman" w:hAnsi="宋体" w:eastAsia="宋体" w:cs="Times New Roman"/>
          <w:bCs/>
          <w:color w:val="auto"/>
          <w:sz w:val="24"/>
          <w:highlight w:val="none"/>
        </w:rPr>
        <w:t>由</w:t>
      </w:r>
      <w:r>
        <w:rPr>
          <w:rFonts w:hint="eastAsia" w:ascii="Times New Roman" w:hAnsi="宋体" w:eastAsia="宋体" w:cs="Times New Roman"/>
          <w:bCs/>
          <w:color w:val="auto"/>
          <w:sz w:val="24"/>
          <w:highlight w:val="none"/>
          <w:lang w:eastAsia="zh-CN"/>
        </w:rPr>
        <w:t>乙方</w:t>
      </w:r>
      <w:r>
        <w:rPr>
          <w:rFonts w:hint="eastAsia" w:ascii="Times New Roman" w:hAnsi="宋体" w:eastAsia="宋体" w:cs="Times New Roman"/>
          <w:bCs/>
          <w:color w:val="auto"/>
          <w:sz w:val="24"/>
          <w:highlight w:val="none"/>
        </w:rPr>
        <w:t>自行承担。若合同执行年度内未出现争议，履约保证金在合同履行结束后，</w:t>
      </w:r>
      <w:r>
        <w:rPr>
          <w:rFonts w:hint="eastAsia" w:ascii="Times New Roman" w:hAnsi="宋体" w:eastAsia="宋体" w:cs="Times New Roman"/>
          <w:bCs/>
          <w:color w:val="auto"/>
          <w:sz w:val="24"/>
          <w:highlight w:val="none"/>
          <w:lang w:val="en-US" w:eastAsia="zh-CN"/>
        </w:rPr>
        <w:t>如无任何服务或其他遗留问题，</w:t>
      </w:r>
      <w:r>
        <w:rPr>
          <w:rFonts w:hint="eastAsia" w:ascii="Times New Roman" w:hAnsi="宋体" w:eastAsia="宋体" w:cs="Times New Roman"/>
          <w:bCs/>
          <w:color w:val="auto"/>
          <w:sz w:val="24"/>
          <w:highlight w:val="none"/>
          <w:lang w:eastAsia="zh-CN"/>
        </w:rPr>
        <w:t>甲方</w:t>
      </w:r>
      <w:r>
        <w:rPr>
          <w:rFonts w:hint="eastAsia" w:ascii="Times New Roman" w:hAnsi="宋体" w:eastAsia="宋体" w:cs="Times New Roman"/>
          <w:bCs/>
          <w:color w:val="auto"/>
          <w:sz w:val="24"/>
          <w:highlight w:val="none"/>
        </w:rPr>
        <w:t>即启动退还履约保证金程序，无息退还给</w:t>
      </w:r>
      <w:r>
        <w:rPr>
          <w:rFonts w:hint="eastAsia" w:ascii="Times New Roman" w:hAnsi="宋体" w:eastAsia="宋体" w:cs="Times New Roman"/>
          <w:bCs/>
          <w:color w:val="auto"/>
          <w:sz w:val="24"/>
          <w:highlight w:val="none"/>
          <w:lang w:eastAsia="zh-CN"/>
        </w:rPr>
        <w:t>乙方</w:t>
      </w:r>
      <w:r>
        <w:rPr>
          <w:rFonts w:hint="eastAsia" w:ascii="Times New Roman" w:hAnsi="宋体" w:eastAsia="宋体" w:cs="Times New Roman"/>
          <w:bCs/>
          <w:color w:val="auto"/>
          <w:sz w:val="24"/>
          <w:highlight w:val="none"/>
        </w:rPr>
        <w:t>。</w:t>
      </w:r>
    </w:p>
    <w:p w14:paraId="37EFAFD4">
      <w:pPr>
        <w:keepNext w:val="0"/>
        <w:keepLines w:val="0"/>
        <w:pageBreakBefore w:val="0"/>
        <w:widowControl w:val="0"/>
        <w:kinsoku/>
        <w:wordWrap/>
        <w:overflowPunct/>
        <w:topLinePunct w:val="0"/>
        <w:autoSpaceDE/>
        <w:autoSpaceDN/>
        <w:bidi w:val="0"/>
        <w:adjustRightInd w:val="0"/>
        <w:snapToGrid/>
        <w:spacing w:line="360" w:lineRule="auto"/>
        <w:ind w:firstLine="562" w:firstLineChars="200"/>
        <w:jc w:val="left"/>
        <w:textAlignment w:val="baseline"/>
        <w:outlineLvl w:val="0"/>
        <w:rPr>
          <w:color w:val="auto"/>
          <w:highlight w:val="none"/>
        </w:rPr>
      </w:pPr>
      <w:bookmarkStart w:id="304" w:name="_Toc18660"/>
      <w:bookmarkStart w:id="305" w:name="_Toc14577"/>
      <w:r>
        <w:rPr>
          <w:rFonts w:hint="eastAsia"/>
          <w:b/>
          <w:bCs/>
          <w:color w:val="auto"/>
          <w:highlight w:val="none"/>
          <w:lang w:val="en-US" w:eastAsia="zh-CN"/>
        </w:rPr>
        <w:t xml:space="preserve">第七条 </w:t>
      </w:r>
      <w:r>
        <w:rPr>
          <w:b/>
          <w:bCs/>
          <w:color w:val="auto"/>
          <w:highlight w:val="none"/>
        </w:rPr>
        <w:t>甲方的权利和义务</w:t>
      </w:r>
      <w:bookmarkEnd w:id="304"/>
      <w:bookmarkEnd w:id="305"/>
    </w:p>
    <w:p w14:paraId="412CF4F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Ansi="宋体"/>
          <w:bCs/>
          <w:color w:val="auto"/>
          <w:sz w:val="24"/>
          <w:highlight w:val="none"/>
        </w:rPr>
      </w:pPr>
      <w:r>
        <w:rPr>
          <w:rFonts w:hint="eastAsia" w:hAnsi="宋体"/>
          <w:bCs/>
          <w:color w:val="auto"/>
          <w:sz w:val="24"/>
          <w:highlight w:val="none"/>
          <w:lang w:eastAsia="zh-CN"/>
        </w:rPr>
        <w:t>1.甲方有权对合同规定范围内乙方的服务行为进行监督、检查，拥有监管权。</w:t>
      </w:r>
      <w:r>
        <w:rPr>
          <w:rFonts w:hAnsi="宋体"/>
          <w:bCs/>
          <w:color w:val="auto"/>
          <w:sz w:val="24"/>
          <w:highlight w:val="none"/>
        </w:rPr>
        <w:t>有权定期核对乙方提供服务所配备的人员数量。对甲方认为不合理的部分有权</w:t>
      </w:r>
      <w:r>
        <w:rPr>
          <w:rFonts w:hint="eastAsia" w:hAnsi="宋体"/>
          <w:bCs/>
          <w:color w:val="auto"/>
          <w:sz w:val="24"/>
          <w:highlight w:val="none"/>
        </w:rPr>
        <w:t>下达整改通知书，并</w:t>
      </w:r>
      <w:r>
        <w:rPr>
          <w:rFonts w:hAnsi="宋体"/>
          <w:bCs/>
          <w:color w:val="auto"/>
          <w:sz w:val="24"/>
          <w:highlight w:val="none"/>
        </w:rPr>
        <w:t>要求乙方</w:t>
      </w:r>
      <w:r>
        <w:rPr>
          <w:rFonts w:hint="eastAsia" w:hAnsi="宋体"/>
          <w:bCs/>
          <w:color w:val="auto"/>
          <w:sz w:val="24"/>
          <w:highlight w:val="none"/>
        </w:rPr>
        <w:t>限期整改</w:t>
      </w:r>
      <w:r>
        <w:rPr>
          <w:rFonts w:hAnsi="宋体"/>
          <w:bCs/>
          <w:color w:val="auto"/>
          <w:sz w:val="24"/>
          <w:highlight w:val="none"/>
        </w:rPr>
        <w:t>。</w:t>
      </w:r>
    </w:p>
    <w:p w14:paraId="2A95F47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hAnsi="宋体" w:eastAsia="宋体"/>
          <w:bCs/>
          <w:color w:val="auto"/>
          <w:sz w:val="24"/>
          <w:highlight w:val="none"/>
          <w:lang w:eastAsia="zh-CN"/>
        </w:rPr>
      </w:pPr>
      <w:r>
        <w:rPr>
          <w:rFonts w:hint="eastAsia" w:hAnsi="宋体"/>
          <w:bCs/>
          <w:color w:val="auto"/>
          <w:sz w:val="24"/>
          <w:highlight w:val="none"/>
          <w:lang w:eastAsia="zh-CN"/>
        </w:rPr>
        <w:t>2.甲方有权依据双方签订的考评办法对乙方提供的服务进行定期考评。当考评结果未达到标准时，有权依据考评办法的约定对乙方进行处罚，处罚包括但不限于扣除履约保证金、解除合同等。如扣除履约保证金后，乙方需在指定期限内补足保证金，逾期未补足的，甲方有权解除合同；单次或多次出现违约行为达到约定次数时，甲方也有权提前解除合同，具体以考评办法为准。</w:t>
      </w:r>
    </w:p>
    <w:p w14:paraId="346B35C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hAnsi="宋体" w:eastAsia="宋体"/>
          <w:bCs/>
          <w:color w:val="auto"/>
          <w:sz w:val="24"/>
          <w:highlight w:val="none"/>
          <w:lang w:eastAsia="zh-CN"/>
        </w:rPr>
      </w:pPr>
      <w:r>
        <w:rPr>
          <w:rFonts w:hint="eastAsia" w:hAnsi="宋体"/>
          <w:bCs/>
          <w:color w:val="auto"/>
          <w:sz w:val="24"/>
          <w:highlight w:val="none"/>
          <w:lang w:eastAsia="zh-CN"/>
        </w:rPr>
        <w:t>3.负责检查、监督乙方管理工作的实施及制度的执行情况。</w:t>
      </w:r>
    </w:p>
    <w:p w14:paraId="2F99516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Ansi="宋体"/>
          <w:bCs/>
          <w:color w:val="auto"/>
          <w:sz w:val="24"/>
          <w:highlight w:val="none"/>
        </w:rPr>
      </w:pPr>
      <w:r>
        <w:rPr>
          <w:rFonts w:hint="eastAsia" w:hAnsi="宋体"/>
          <w:bCs/>
          <w:color w:val="auto"/>
          <w:sz w:val="24"/>
          <w:highlight w:val="none"/>
          <w:lang w:eastAsia="zh-CN"/>
        </w:rPr>
        <w:t>4.</w:t>
      </w:r>
      <w:r>
        <w:rPr>
          <w:rFonts w:hAnsi="宋体"/>
          <w:bCs/>
          <w:color w:val="auto"/>
          <w:sz w:val="24"/>
          <w:highlight w:val="none"/>
        </w:rPr>
        <w:t>国家</w:t>
      </w:r>
      <w:r>
        <w:rPr>
          <w:rFonts w:hint="eastAsia" w:hAnsi="宋体"/>
          <w:bCs/>
          <w:color w:val="auto"/>
          <w:sz w:val="24"/>
          <w:highlight w:val="none"/>
          <w:lang w:eastAsia="zh-CN"/>
        </w:rPr>
        <w:t>法律法规</w:t>
      </w:r>
      <w:r>
        <w:rPr>
          <w:rFonts w:hAnsi="宋体"/>
          <w:bCs/>
          <w:color w:val="auto"/>
          <w:sz w:val="24"/>
          <w:highlight w:val="none"/>
        </w:rPr>
        <w:t>所规定由甲方承担的</w:t>
      </w:r>
      <w:r>
        <w:rPr>
          <w:rFonts w:hint="eastAsia" w:hAnsi="宋体"/>
          <w:bCs/>
          <w:color w:val="auto"/>
          <w:sz w:val="24"/>
          <w:highlight w:val="none"/>
          <w:lang w:eastAsia="zh-CN"/>
        </w:rPr>
        <w:t>其他</w:t>
      </w:r>
      <w:r>
        <w:rPr>
          <w:rFonts w:hAnsi="宋体"/>
          <w:bCs/>
          <w:color w:val="auto"/>
          <w:sz w:val="24"/>
          <w:highlight w:val="none"/>
        </w:rPr>
        <w:t>责任。</w:t>
      </w:r>
    </w:p>
    <w:p w14:paraId="3E3B4DBE">
      <w:pPr>
        <w:keepNext w:val="0"/>
        <w:keepLines w:val="0"/>
        <w:pageBreakBefore w:val="0"/>
        <w:widowControl w:val="0"/>
        <w:kinsoku/>
        <w:wordWrap/>
        <w:overflowPunct/>
        <w:topLinePunct w:val="0"/>
        <w:autoSpaceDE/>
        <w:autoSpaceDN/>
        <w:bidi w:val="0"/>
        <w:adjustRightInd w:val="0"/>
        <w:snapToGrid/>
        <w:spacing w:line="360" w:lineRule="auto"/>
        <w:ind w:firstLine="562" w:firstLineChars="200"/>
        <w:jc w:val="left"/>
        <w:textAlignment w:val="baseline"/>
        <w:outlineLvl w:val="0"/>
        <w:rPr>
          <w:b/>
          <w:bCs/>
          <w:color w:val="auto"/>
          <w:highlight w:val="none"/>
        </w:rPr>
      </w:pPr>
      <w:bookmarkStart w:id="306" w:name="_Toc23553"/>
      <w:bookmarkStart w:id="307" w:name="_Toc31295"/>
      <w:r>
        <w:rPr>
          <w:rFonts w:hint="eastAsia"/>
          <w:b/>
          <w:bCs/>
          <w:color w:val="auto"/>
          <w:highlight w:val="none"/>
          <w:lang w:val="en-US" w:eastAsia="zh-CN"/>
        </w:rPr>
        <w:t xml:space="preserve">第八条 </w:t>
      </w:r>
      <w:r>
        <w:rPr>
          <w:b/>
          <w:bCs/>
          <w:color w:val="auto"/>
          <w:highlight w:val="none"/>
        </w:rPr>
        <w:t>乙方的权利和义务</w:t>
      </w:r>
      <w:bookmarkEnd w:id="306"/>
      <w:bookmarkEnd w:id="307"/>
    </w:p>
    <w:p w14:paraId="6337E05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Ansi="宋体"/>
          <w:bCs/>
          <w:color w:val="auto"/>
          <w:sz w:val="24"/>
          <w:highlight w:val="none"/>
        </w:rPr>
      </w:pPr>
      <w:r>
        <w:rPr>
          <w:rFonts w:hint="eastAsia" w:hAnsi="宋体"/>
          <w:bCs/>
          <w:color w:val="auto"/>
          <w:sz w:val="24"/>
          <w:highlight w:val="none"/>
          <w:lang w:eastAsia="zh-CN"/>
        </w:rPr>
        <w:t>1.</w:t>
      </w:r>
      <w:r>
        <w:rPr>
          <w:rFonts w:hAnsi="宋体"/>
          <w:bCs/>
          <w:color w:val="auto"/>
          <w:sz w:val="24"/>
          <w:highlight w:val="none"/>
        </w:rPr>
        <w:t>对本合同规定的委托</w:t>
      </w:r>
      <w:r>
        <w:rPr>
          <w:rFonts w:hint="eastAsia" w:hAnsi="宋体"/>
          <w:bCs/>
          <w:color w:val="auto"/>
          <w:sz w:val="24"/>
          <w:highlight w:val="none"/>
        </w:rPr>
        <w:t>服务</w:t>
      </w:r>
      <w:r>
        <w:rPr>
          <w:rFonts w:hAnsi="宋体"/>
          <w:bCs/>
          <w:color w:val="auto"/>
          <w:sz w:val="24"/>
          <w:highlight w:val="none"/>
        </w:rPr>
        <w:t>范围内的</w:t>
      </w:r>
      <w:r>
        <w:rPr>
          <w:rFonts w:hint="eastAsia" w:hAnsi="宋体"/>
          <w:bCs/>
          <w:color w:val="auto"/>
          <w:sz w:val="24"/>
          <w:highlight w:val="none"/>
        </w:rPr>
        <w:t>项目</w:t>
      </w:r>
      <w:r>
        <w:rPr>
          <w:rFonts w:hAnsi="宋体"/>
          <w:bCs/>
          <w:color w:val="auto"/>
          <w:sz w:val="24"/>
          <w:highlight w:val="none"/>
        </w:rPr>
        <w:t>享有管理权</w:t>
      </w:r>
      <w:r>
        <w:rPr>
          <w:rFonts w:hint="eastAsia" w:hAnsi="宋体"/>
          <w:bCs/>
          <w:color w:val="auto"/>
          <w:sz w:val="24"/>
          <w:highlight w:val="none"/>
          <w:lang w:eastAsia="zh-CN"/>
        </w:rPr>
        <w:t>并承担</w:t>
      </w:r>
      <w:r>
        <w:rPr>
          <w:rFonts w:hAnsi="宋体"/>
          <w:bCs/>
          <w:color w:val="auto"/>
          <w:sz w:val="24"/>
          <w:highlight w:val="none"/>
        </w:rPr>
        <w:t>服务义务。</w:t>
      </w:r>
    </w:p>
    <w:p w14:paraId="6CCB5CA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Ansi="宋体"/>
          <w:color w:val="auto"/>
          <w:sz w:val="24"/>
          <w:highlight w:val="none"/>
        </w:rPr>
      </w:pPr>
      <w:r>
        <w:rPr>
          <w:rFonts w:hint="eastAsia" w:hAnsi="宋体"/>
          <w:bCs/>
          <w:color w:val="auto"/>
          <w:sz w:val="24"/>
          <w:highlight w:val="none"/>
          <w:lang w:eastAsia="zh-CN"/>
        </w:rPr>
        <w:t>2.</w:t>
      </w:r>
      <w:r>
        <w:rPr>
          <w:rFonts w:hint="eastAsia" w:hAnsi="宋体"/>
          <w:color w:val="auto"/>
          <w:sz w:val="24"/>
          <w:highlight w:val="none"/>
        </w:rPr>
        <w:t>及时向甲方通告本项目服务范围内有关服务的重大事项，及时配合处理投诉。</w:t>
      </w:r>
    </w:p>
    <w:p w14:paraId="7EAA9A2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Ansi="宋体"/>
          <w:bCs/>
          <w:color w:val="auto"/>
          <w:sz w:val="24"/>
          <w:highlight w:val="none"/>
        </w:rPr>
      </w:pPr>
      <w:r>
        <w:rPr>
          <w:rFonts w:hint="eastAsia" w:hAnsi="宋体"/>
          <w:color w:val="auto"/>
          <w:sz w:val="24"/>
          <w:highlight w:val="none"/>
          <w:lang w:val="en-US" w:eastAsia="zh-CN"/>
        </w:rPr>
        <w:t>3.</w:t>
      </w:r>
      <w:r>
        <w:rPr>
          <w:rFonts w:hAnsi="宋体"/>
          <w:bCs/>
          <w:color w:val="auto"/>
          <w:sz w:val="24"/>
          <w:highlight w:val="none"/>
        </w:rPr>
        <w:t>接受</w:t>
      </w:r>
      <w:r>
        <w:rPr>
          <w:rFonts w:hint="eastAsia" w:hAnsi="宋体"/>
          <w:bCs/>
          <w:color w:val="auto"/>
          <w:sz w:val="24"/>
          <w:highlight w:val="none"/>
        </w:rPr>
        <w:t>项目行</w:t>
      </w:r>
      <w:r>
        <w:rPr>
          <w:rFonts w:hAnsi="宋体"/>
          <w:bCs/>
          <w:color w:val="auto"/>
          <w:sz w:val="24"/>
          <w:highlight w:val="none"/>
        </w:rPr>
        <w:t>业管理部门及政府有关部门的指导，接受甲方的监督。</w:t>
      </w:r>
    </w:p>
    <w:p w14:paraId="6C6B95B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hAnsi="宋体" w:eastAsia="宋体"/>
          <w:bCs/>
          <w:color w:val="auto"/>
          <w:sz w:val="24"/>
          <w:highlight w:val="none"/>
          <w:lang w:eastAsia="zh-CN"/>
        </w:rPr>
      </w:pPr>
      <w:r>
        <w:rPr>
          <w:rFonts w:hint="eastAsia" w:hAnsi="宋体"/>
          <w:bCs/>
          <w:color w:val="auto"/>
          <w:sz w:val="24"/>
          <w:highlight w:val="none"/>
          <w:lang w:val="en-US" w:eastAsia="zh-CN"/>
        </w:rPr>
        <w:t>4.</w:t>
      </w:r>
      <w:r>
        <w:rPr>
          <w:rFonts w:hint="eastAsia" w:hAnsi="宋体"/>
          <w:bCs/>
          <w:color w:val="auto"/>
          <w:sz w:val="24"/>
          <w:highlight w:val="none"/>
          <w:lang w:eastAsia="zh-CN"/>
        </w:rPr>
        <w:t>承担国家法律法规规定的其他应由乙方履行的责任。</w:t>
      </w:r>
    </w:p>
    <w:p w14:paraId="659D481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hAnsi="宋体" w:cs="Times New Roman"/>
          <w:color w:val="auto"/>
          <w:sz w:val="24"/>
          <w:highlight w:val="none"/>
          <w:lang w:val="en-US" w:eastAsia="zh-CN"/>
        </w:rPr>
      </w:pPr>
      <w:r>
        <w:rPr>
          <w:rFonts w:hint="eastAsia" w:ascii="Times New Roman" w:hAnsi="宋体" w:eastAsia="宋体" w:cs="Times New Roman"/>
          <w:color w:val="auto"/>
          <w:sz w:val="24"/>
          <w:highlight w:val="none"/>
          <w:lang w:val="en-US" w:eastAsia="zh-CN"/>
        </w:rPr>
        <w:t>5.</w:t>
      </w:r>
      <w:r>
        <w:rPr>
          <w:rFonts w:hint="eastAsia" w:hAnsi="宋体" w:cs="Times New Roman"/>
          <w:color w:val="auto"/>
          <w:sz w:val="24"/>
          <w:highlight w:val="none"/>
          <w:lang w:val="en-US" w:eastAsia="zh-CN"/>
        </w:rPr>
        <w:t>乙方授权指派人员为：__________，联系电话：__________，乙方如需变更授权指派人员，应提前向甲方出具书面告知函。</w:t>
      </w:r>
    </w:p>
    <w:p w14:paraId="2C90ED59">
      <w:pPr>
        <w:keepNext w:val="0"/>
        <w:keepLines w:val="0"/>
        <w:pageBreakBefore w:val="0"/>
        <w:widowControl w:val="0"/>
        <w:kinsoku/>
        <w:wordWrap/>
        <w:overflowPunct/>
        <w:topLinePunct w:val="0"/>
        <w:autoSpaceDE/>
        <w:autoSpaceDN/>
        <w:bidi w:val="0"/>
        <w:adjustRightInd w:val="0"/>
        <w:snapToGrid/>
        <w:spacing w:line="360" w:lineRule="auto"/>
        <w:ind w:firstLine="562" w:firstLineChars="200"/>
        <w:jc w:val="left"/>
        <w:textAlignment w:val="baseline"/>
        <w:outlineLvl w:val="0"/>
        <w:rPr>
          <w:color w:val="auto"/>
          <w:highlight w:val="none"/>
        </w:rPr>
      </w:pPr>
      <w:bookmarkStart w:id="308" w:name="_Toc5134"/>
      <w:bookmarkStart w:id="309" w:name="_Toc4928"/>
      <w:r>
        <w:rPr>
          <w:rFonts w:hint="eastAsia"/>
          <w:b/>
          <w:bCs/>
          <w:color w:val="auto"/>
          <w:highlight w:val="none"/>
          <w:lang w:val="en-US" w:eastAsia="zh-CN"/>
        </w:rPr>
        <w:t xml:space="preserve">第九条 </w:t>
      </w:r>
      <w:r>
        <w:rPr>
          <w:b/>
          <w:bCs/>
          <w:color w:val="auto"/>
          <w:highlight w:val="none"/>
        </w:rPr>
        <w:t>违约责任</w:t>
      </w:r>
      <w:bookmarkEnd w:id="308"/>
      <w:bookmarkEnd w:id="309"/>
    </w:p>
    <w:p w14:paraId="4E79DCD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imes New Roman" w:hAnsi="宋体" w:eastAsia="宋体" w:cs="Times New Roman"/>
          <w:bCs/>
          <w:color w:val="auto"/>
          <w:sz w:val="24"/>
          <w:highlight w:val="none"/>
          <w:lang w:eastAsia="zh-CN"/>
        </w:rPr>
      </w:pPr>
      <w:r>
        <w:rPr>
          <w:rFonts w:hint="eastAsia" w:ascii="Times New Roman" w:hAnsi="宋体" w:eastAsia="宋体" w:cs="Times New Roman"/>
          <w:bCs/>
          <w:color w:val="auto"/>
          <w:sz w:val="24"/>
          <w:highlight w:val="none"/>
          <w:lang w:eastAsia="zh-CN"/>
        </w:rPr>
        <w:t>1.</w:t>
      </w:r>
      <w:r>
        <w:rPr>
          <w:rFonts w:hint="eastAsia" w:hAnsi="宋体" w:cs="Times New Roman"/>
          <w:bCs/>
          <w:color w:val="auto"/>
          <w:sz w:val="24"/>
          <w:highlight w:val="none"/>
          <w:lang w:eastAsia="zh-CN"/>
        </w:rPr>
        <w:t>甲乙双方应严格遵守本合同约定，全面履行合同各项义务，确保本合同顺利履行。</w:t>
      </w:r>
    </w:p>
    <w:p w14:paraId="304AFF6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ascii="Times New Roman" w:hAnsi="宋体" w:eastAsia="宋体" w:cs="Times New Roman"/>
          <w:bCs/>
          <w:color w:val="auto"/>
          <w:sz w:val="24"/>
          <w:highlight w:val="none"/>
        </w:rPr>
      </w:pPr>
      <w:r>
        <w:rPr>
          <w:rFonts w:hint="eastAsia" w:ascii="Times New Roman" w:hAnsi="宋体" w:eastAsia="宋体" w:cs="Times New Roman"/>
          <w:bCs/>
          <w:color w:val="auto"/>
          <w:sz w:val="24"/>
          <w:highlight w:val="none"/>
          <w:lang w:eastAsia="zh-CN"/>
        </w:rPr>
        <w:t>2.</w:t>
      </w:r>
      <w:r>
        <w:rPr>
          <w:rFonts w:hint="eastAsia" w:ascii="宋体" w:hAnsi="宋体" w:eastAsia="宋体" w:cs="宋体"/>
          <w:bCs/>
          <w:color w:val="auto"/>
          <w:sz w:val="24"/>
          <w:highlight w:val="none"/>
        </w:rPr>
        <w:t>如因乙方</w:t>
      </w:r>
      <w:r>
        <w:rPr>
          <w:rFonts w:hint="eastAsia" w:ascii="宋体" w:hAnsi="宋体" w:eastAsia="宋体" w:cs="宋体"/>
          <w:bCs/>
          <w:color w:val="auto"/>
          <w:sz w:val="24"/>
          <w:highlight w:val="none"/>
          <w:lang w:val="en-US" w:eastAsia="zh-Hans"/>
        </w:rPr>
        <w:t>或乙方</w:t>
      </w:r>
      <w:r>
        <w:rPr>
          <w:rFonts w:hint="eastAsia" w:ascii="宋体" w:hAnsi="宋体" w:eastAsia="宋体" w:cs="宋体"/>
          <w:bCs/>
          <w:color w:val="auto"/>
          <w:sz w:val="24"/>
          <w:highlight w:val="none"/>
        </w:rPr>
        <w:t>工作人员在履行职务过程</w:t>
      </w:r>
      <w:r>
        <w:rPr>
          <w:rFonts w:hint="eastAsia" w:ascii="宋体" w:hAnsi="宋体" w:eastAsia="宋体" w:cs="宋体"/>
          <w:bCs/>
          <w:color w:val="auto"/>
          <w:sz w:val="24"/>
          <w:highlight w:val="none"/>
          <w:lang w:eastAsia="zh-CN"/>
        </w:rPr>
        <w:t>中</w:t>
      </w:r>
      <w:r>
        <w:rPr>
          <w:rFonts w:hint="eastAsia" w:ascii="宋体" w:hAnsi="宋体" w:eastAsia="宋体" w:cs="宋体"/>
          <w:bCs/>
          <w:color w:val="auto"/>
          <w:sz w:val="24"/>
          <w:highlight w:val="none"/>
        </w:rPr>
        <w:t>的疏忽、失职、过错等故意或者过失原因给甲方造成损失或侵害，包括但不限于甲方本身的财产损失、由此而导致的甲方对任何第三方的法律责任</w:t>
      </w:r>
      <w:r>
        <w:rPr>
          <w:rFonts w:hint="eastAsia" w:ascii="宋体" w:hAnsi="宋体" w:eastAsia="宋体" w:cs="宋体"/>
          <w:bCs/>
          <w:color w:val="auto"/>
          <w:sz w:val="24"/>
          <w:highlight w:val="none"/>
          <w:lang w:eastAsia="zh-CN"/>
        </w:rPr>
        <w:t>，</w:t>
      </w:r>
      <w:r>
        <w:rPr>
          <w:rFonts w:hint="eastAsia" w:ascii="宋体" w:hAnsi="宋体" w:eastAsia="宋体" w:cs="宋体"/>
          <w:bCs/>
          <w:color w:val="auto"/>
          <w:sz w:val="24"/>
          <w:highlight w:val="none"/>
        </w:rPr>
        <w:t>因乙方行为受到行政主管部门处罚、发生安全生产事故从而导致甲方受到牵连等，</w:t>
      </w:r>
      <w:r>
        <w:rPr>
          <w:rFonts w:hint="eastAsia" w:ascii="宋体" w:hAnsi="宋体" w:eastAsia="宋体" w:cs="宋体"/>
          <w:bCs/>
          <w:color w:val="auto"/>
          <w:sz w:val="24"/>
          <w:highlight w:val="none"/>
          <w:lang w:val="en-US" w:eastAsia="zh-Hans"/>
        </w:rPr>
        <w:t>视为乙方违约</w:t>
      </w:r>
      <w:r>
        <w:rPr>
          <w:rFonts w:hint="eastAsia" w:ascii="宋体" w:hAnsi="宋体" w:eastAsia="宋体" w:cs="宋体"/>
          <w:bCs/>
          <w:color w:val="auto"/>
          <w:sz w:val="24"/>
          <w:highlight w:val="none"/>
          <w:lang w:eastAsia="zh-Hans"/>
        </w:rPr>
        <w:t>，</w:t>
      </w:r>
      <w:r>
        <w:rPr>
          <w:rFonts w:hint="eastAsia" w:ascii="宋体" w:hAnsi="宋体" w:eastAsia="宋体" w:cs="宋体"/>
          <w:bCs/>
          <w:color w:val="auto"/>
          <w:sz w:val="24"/>
          <w:highlight w:val="none"/>
          <w:lang w:val="en-US" w:eastAsia="zh-Hans"/>
        </w:rPr>
        <w:t>乙方应向甲方支付</w:t>
      </w:r>
      <w:r>
        <w:rPr>
          <w:rFonts w:hint="eastAsia" w:ascii="宋体" w:hAnsi="宋体" w:eastAsia="宋体" w:cs="宋体"/>
          <w:bCs/>
          <w:color w:val="auto"/>
          <w:sz w:val="24"/>
          <w:highlight w:val="none"/>
        </w:rPr>
        <w:t>违约金</w:t>
      </w:r>
      <w:r>
        <w:rPr>
          <w:rFonts w:hint="eastAsia" w:ascii="宋体" w:hAnsi="宋体" w:eastAsia="宋体" w:cs="宋体"/>
          <w:bCs/>
          <w:color w:val="auto"/>
          <w:sz w:val="24"/>
          <w:highlight w:val="none"/>
          <w:lang w:val="en-US" w:eastAsia="zh-CN"/>
        </w:rPr>
        <w:t>1万元。</w:t>
      </w:r>
      <w:r>
        <w:rPr>
          <w:rFonts w:hint="eastAsia" w:ascii="宋体" w:hAnsi="宋体" w:eastAsia="宋体" w:cs="宋体"/>
          <w:bCs/>
          <w:color w:val="auto"/>
          <w:sz w:val="24"/>
          <w:highlight w:val="none"/>
        </w:rPr>
        <w:t>如果违约金不足以弥补甲方损失的，则乙方还应赔偿因此给甲方造成的直接损失、间接损失、合同顺利履行</w:t>
      </w:r>
      <w:r>
        <w:rPr>
          <w:rFonts w:hint="eastAsia" w:ascii="宋体" w:hAnsi="宋体" w:eastAsia="宋体" w:cs="宋体"/>
          <w:bCs/>
          <w:color w:val="auto"/>
          <w:sz w:val="24"/>
          <w:highlight w:val="none"/>
          <w:lang w:val="en-US" w:eastAsia="zh-Hans"/>
        </w:rPr>
        <w:t>甲方</w:t>
      </w:r>
      <w:r>
        <w:rPr>
          <w:rFonts w:hint="eastAsia" w:ascii="宋体" w:hAnsi="宋体" w:eastAsia="宋体" w:cs="宋体"/>
          <w:bCs/>
          <w:color w:val="auto"/>
          <w:sz w:val="24"/>
          <w:highlight w:val="none"/>
        </w:rPr>
        <w:t>预期可得利益的损失等全部损失。</w:t>
      </w:r>
    </w:p>
    <w:p w14:paraId="2E35091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baseline"/>
        <w:rPr>
          <w:rFonts w:hint="eastAsia" w:hAnsi="宋体" w:cs="Times New Roman"/>
          <w:bCs/>
          <w:color w:val="auto"/>
          <w:sz w:val="24"/>
          <w:highlight w:val="none"/>
          <w:lang w:val="en-US" w:eastAsia="zh-CN"/>
        </w:rPr>
      </w:pPr>
      <w:r>
        <w:rPr>
          <w:rFonts w:hint="eastAsia" w:hAnsi="宋体" w:cs="Times New Roman"/>
          <w:bCs/>
          <w:color w:val="auto"/>
          <w:sz w:val="24"/>
          <w:highlight w:val="none"/>
          <w:lang w:val="en-US" w:eastAsia="zh-CN"/>
        </w:rPr>
        <w:t>3.乙方未履行合同义务或未按合同约定履行义务的，应承担违约责任，并赔偿因其违约给甲方造成的直接和间接损失（包括但不限于甲方遭受的额外费用支出，以及为获得救济而发生的诉讼费用、律师费用等全部损失），并向甲方支付违约金1万元。</w:t>
      </w:r>
    </w:p>
    <w:p w14:paraId="63FA9E25">
      <w:pPr>
        <w:keepNext w:val="0"/>
        <w:keepLines w:val="0"/>
        <w:pageBreakBefore w:val="0"/>
        <w:widowControl w:val="0"/>
        <w:kinsoku/>
        <w:wordWrap/>
        <w:overflowPunct/>
        <w:topLinePunct w:val="0"/>
        <w:autoSpaceDE/>
        <w:autoSpaceDN/>
        <w:bidi w:val="0"/>
        <w:adjustRightInd w:val="0"/>
        <w:snapToGrid/>
        <w:spacing w:line="360" w:lineRule="auto"/>
        <w:ind w:firstLine="562" w:firstLineChars="200"/>
        <w:jc w:val="left"/>
        <w:textAlignment w:val="baseline"/>
        <w:outlineLvl w:val="0"/>
        <w:rPr>
          <w:b/>
          <w:bCs/>
          <w:color w:val="auto"/>
          <w:highlight w:val="none"/>
        </w:rPr>
      </w:pPr>
      <w:bookmarkStart w:id="310" w:name="_Toc4849"/>
      <w:bookmarkStart w:id="311" w:name="_Toc3497"/>
      <w:r>
        <w:rPr>
          <w:rFonts w:hint="eastAsia"/>
          <w:b/>
          <w:bCs/>
          <w:color w:val="auto"/>
          <w:highlight w:val="none"/>
          <w:lang w:val="en-US" w:eastAsia="zh-CN"/>
        </w:rPr>
        <w:t xml:space="preserve">第十条 </w:t>
      </w:r>
      <w:r>
        <w:rPr>
          <w:rFonts w:hint="eastAsia"/>
          <w:b/>
          <w:bCs/>
          <w:color w:val="auto"/>
          <w:highlight w:val="none"/>
        </w:rPr>
        <w:t>不可抗力事件处理</w:t>
      </w:r>
      <w:bookmarkEnd w:id="310"/>
      <w:bookmarkEnd w:id="311"/>
    </w:p>
    <w:p w14:paraId="7C1D3779">
      <w:pPr>
        <w:keepNext w:val="0"/>
        <w:keepLines w:val="0"/>
        <w:pageBreakBefore w:val="0"/>
        <w:widowControl w:val="0"/>
        <w:tabs>
          <w:tab w:val="left" w:pos="0"/>
        </w:tabs>
        <w:kinsoku/>
        <w:wordWrap/>
        <w:overflowPunct/>
        <w:topLinePunct w:val="0"/>
        <w:autoSpaceDE/>
        <w:autoSpaceDN/>
        <w:bidi w:val="0"/>
        <w:snapToGrid/>
        <w:spacing w:line="360" w:lineRule="auto"/>
        <w:ind w:firstLine="480" w:firstLineChars="200"/>
        <w:rPr>
          <w:rFonts w:hAnsi="宋体"/>
          <w:color w:val="auto"/>
          <w:sz w:val="24"/>
          <w:highlight w:val="none"/>
        </w:rPr>
      </w:pPr>
      <w:r>
        <w:rPr>
          <w:rFonts w:hint="eastAsia" w:hAnsi="宋体"/>
          <w:color w:val="auto"/>
          <w:sz w:val="24"/>
          <w:highlight w:val="none"/>
          <w:lang w:eastAsia="zh-CN"/>
        </w:rPr>
        <w:t>1.在合同有效期内，任何一方因不可抗力事件不能履行合同的，合同履行期限相应延长，延长期限与不可抗力影响期限一致。</w:t>
      </w:r>
    </w:p>
    <w:p w14:paraId="44C6FBDC">
      <w:pPr>
        <w:keepNext w:val="0"/>
        <w:keepLines w:val="0"/>
        <w:pageBreakBefore w:val="0"/>
        <w:widowControl w:val="0"/>
        <w:tabs>
          <w:tab w:val="left" w:pos="0"/>
        </w:tabs>
        <w:kinsoku/>
        <w:wordWrap/>
        <w:overflowPunct/>
        <w:topLinePunct w:val="0"/>
        <w:autoSpaceDE/>
        <w:autoSpaceDN/>
        <w:bidi w:val="0"/>
        <w:snapToGrid/>
        <w:spacing w:line="360" w:lineRule="auto"/>
        <w:ind w:firstLine="480" w:firstLineChars="200"/>
        <w:rPr>
          <w:rFonts w:hAnsi="宋体"/>
          <w:color w:val="auto"/>
          <w:sz w:val="24"/>
          <w:highlight w:val="none"/>
        </w:rPr>
      </w:pPr>
      <w:r>
        <w:rPr>
          <w:rFonts w:hint="eastAsia" w:hAnsi="宋体"/>
          <w:color w:val="auto"/>
          <w:sz w:val="24"/>
          <w:highlight w:val="none"/>
          <w:lang w:eastAsia="zh-CN"/>
        </w:rPr>
        <w:t>2.不可抗力事件发生后，遭遇不可抗力的一方应立即通知对方，并寄送有关权威机构出具的证明文件。</w:t>
      </w:r>
    </w:p>
    <w:p w14:paraId="2737068C">
      <w:pPr>
        <w:keepNext w:val="0"/>
        <w:keepLines w:val="0"/>
        <w:pageBreakBefore w:val="0"/>
        <w:widowControl w:val="0"/>
        <w:tabs>
          <w:tab w:val="left" w:pos="0"/>
        </w:tabs>
        <w:kinsoku/>
        <w:wordWrap/>
        <w:overflowPunct/>
        <w:topLinePunct w:val="0"/>
        <w:autoSpaceDE/>
        <w:autoSpaceDN/>
        <w:bidi w:val="0"/>
        <w:snapToGrid/>
        <w:spacing w:line="360" w:lineRule="auto"/>
        <w:ind w:firstLine="480" w:firstLineChars="200"/>
        <w:rPr>
          <w:rFonts w:hint="eastAsia" w:hAnsi="宋体"/>
          <w:color w:val="auto"/>
          <w:sz w:val="24"/>
          <w:highlight w:val="none"/>
        </w:rPr>
      </w:pPr>
      <w:r>
        <w:rPr>
          <w:rFonts w:hint="eastAsia" w:hAnsi="宋体"/>
          <w:color w:val="auto"/>
          <w:sz w:val="24"/>
          <w:highlight w:val="none"/>
          <w:lang w:eastAsia="zh-CN"/>
        </w:rPr>
        <w:t>3.</w:t>
      </w:r>
      <w:r>
        <w:rPr>
          <w:rFonts w:hint="eastAsia" w:hAnsi="宋体"/>
          <w:color w:val="auto"/>
          <w:sz w:val="24"/>
          <w:highlight w:val="none"/>
        </w:rPr>
        <w:t>不可抗力事件延续</w:t>
      </w:r>
      <w:r>
        <w:rPr>
          <w:rFonts w:hint="eastAsia" w:hAnsi="宋体"/>
          <w:color w:val="auto"/>
          <w:sz w:val="24"/>
          <w:highlight w:val="none"/>
          <w:u w:val="single"/>
          <w:lang w:val="en-US" w:eastAsia="zh-CN"/>
        </w:rPr>
        <w:t>15</w:t>
      </w:r>
      <w:r>
        <w:rPr>
          <w:rFonts w:hint="eastAsia" w:hAnsi="宋体"/>
          <w:color w:val="auto"/>
          <w:sz w:val="24"/>
          <w:highlight w:val="none"/>
        </w:rPr>
        <w:t>天以上，双方应通过友好协商，确定是否继续履行合同。</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Start w:id="312" w:name="_Toc237145411"/>
      <w:bookmarkStart w:id="313" w:name="_Toc185395254"/>
      <w:bookmarkStart w:id="314" w:name="_Toc238984980"/>
      <w:bookmarkStart w:id="315" w:name="_Toc225670756"/>
      <w:bookmarkStart w:id="316" w:name="_Toc241833908"/>
      <w:bookmarkStart w:id="317" w:name="_Toc251768867"/>
      <w:bookmarkStart w:id="318" w:name="_Toc211854454"/>
      <w:bookmarkStart w:id="319" w:name="_Toc286993792"/>
      <w:bookmarkStart w:id="320" w:name="_Toc211911353"/>
      <w:bookmarkStart w:id="321" w:name="_Toc225654649"/>
      <w:bookmarkStart w:id="322" w:name="_Toc232492933"/>
      <w:bookmarkStart w:id="323" w:name="_Toc239233919"/>
      <w:bookmarkStart w:id="324" w:name="_Toc212019599"/>
      <w:bookmarkStart w:id="325" w:name="_Toc247334846"/>
      <w:bookmarkStart w:id="326" w:name="_Toc225244857"/>
      <w:bookmarkStart w:id="327" w:name="_Toc239568423"/>
    </w:p>
    <w:p w14:paraId="6E1E4881">
      <w:pPr>
        <w:keepNext w:val="0"/>
        <w:keepLines w:val="0"/>
        <w:pageBreakBefore w:val="0"/>
        <w:widowControl w:val="0"/>
        <w:tabs>
          <w:tab w:val="left" w:pos="0"/>
        </w:tabs>
        <w:kinsoku/>
        <w:wordWrap/>
        <w:overflowPunct/>
        <w:topLinePunct w:val="0"/>
        <w:autoSpaceDE/>
        <w:autoSpaceDN/>
        <w:bidi w:val="0"/>
        <w:snapToGrid/>
        <w:spacing w:line="360" w:lineRule="auto"/>
        <w:ind w:firstLine="562" w:firstLineChars="200"/>
        <w:outlineLvl w:val="0"/>
        <w:rPr>
          <w:rFonts w:hAnsi="宋体"/>
          <w:b/>
          <w:bCs/>
          <w:color w:val="auto"/>
          <w:sz w:val="24"/>
          <w:highlight w:val="none"/>
        </w:rPr>
      </w:pPr>
      <w:bookmarkStart w:id="328" w:name="_Toc20341"/>
      <w:bookmarkStart w:id="329" w:name="_Toc6595"/>
      <w:r>
        <w:rPr>
          <w:rFonts w:hint="eastAsia"/>
          <w:b/>
          <w:bCs/>
          <w:color w:val="auto"/>
          <w:highlight w:val="none"/>
          <w:lang w:val="en-US" w:eastAsia="zh-CN"/>
        </w:rPr>
        <w:t xml:space="preserve">第十一条 </w:t>
      </w:r>
      <w:r>
        <w:rPr>
          <w:rFonts w:hint="eastAsia" w:hAnsi="宋体"/>
          <w:b/>
          <w:bCs/>
          <w:color w:val="auto"/>
          <w:sz w:val="24"/>
          <w:highlight w:val="none"/>
        </w:rPr>
        <w:t>解</w:t>
      </w:r>
      <w:r>
        <w:rPr>
          <w:rFonts w:hAnsi="宋体"/>
          <w:b/>
          <w:bCs/>
          <w:color w:val="auto"/>
          <w:sz w:val="24"/>
          <w:highlight w:val="none"/>
        </w:rPr>
        <w:t>决合同纠纷的方式</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1B9E9D84">
      <w:pPr>
        <w:keepNext w:val="0"/>
        <w:keepLines w:val="0"/>
        <w:pageBreakBefore w:val="0"/>
        <w:widowControl w:val="0"/>
        <w:tabs>
          <w:tab w:val="left" w:pos="0"/>
        </w:tabs>
        <w:kinsoku/>
        <w:wordWrap/>
        <w:overflowPunct/>
        <w:topLinePunct w:val="0"/>
        <w:autoSpaceDE/>
        <w:autoSpaceDN/>
        <w:bidi w:val="0"/>
        <w:snapToGrid/>
        <w:spacing w:line="360" w:lineRule="auto"/>
        <w:ind w:firstLine="480" w:firstLineChars="200"/>
        <w:rPr>
          <w:rFonts w:hint="eastAsia" w:hAnsi="宋体"/>
          <w:color w:val="auto"/>
          <w:sz w:val="24"/>
          <w:highlight w:val="none"/>
        </w:rPr>
      </w:pPr>
      <w:r>
        <w:rPr>
          <w:rFonts w:hAnsi="宋体"/>
          <w:color w:val="auto"/>
          <w:sz w:val="24"/>
          <w:highlight w:val="none"/>
        </w:rPr>
        <w:t>在执行本合同中发生的或与本合同有关的争端，双方应通过友好协商解决，</w:t>
      </w:r>
      <w:r>
        <w:rPr>
          <w:rFonts w:hint="eastAsia" w:hAnsi="宋体"/>
          <w:color w:val="auto"/>
          <w:sz w:val="24"/>
          <w:highlight w:val="none"/>
        </w:rPr>
        <w:t>并可签订补充协议</w:t>
      </w:r>
      <w:r>
        <w:rPr>
          <w:rFonts w:hint="eastAsia" w:hAnsi="宋体"/>
          <w:color w:val="auto"/>
          <w:sz w:val="24"/>
          <w:highlight w:val="none"/>
          <w:lang w:eastAsia="zh-CN"/>
        </w:rPr>
        <w:t>；</w:t>
      </w:r>
      <w:r>
        <w:rPr>
          <w:rFonts w:hint="eastAsia" w:hAnsi="宋体"/>
          <w:color w:val="auto"/>
          <w:sz w:val="24"/>
          <w:highlight w:val="none"/>
        </w:rPr>
        <w:t>协商不成的</w:t>
      </w:r>
      <w:r>
        <w:rPr>
          <w:rFonts w:hint="eastAsia" w:hAnsi="宋体"/>
          <w:color w:val="auto"/>
          <w:sz w:val="24"/>
          <w:highlight w:val="none"/>
          <w:lang w:eastAsia="zh-CN"/>
        </w:rPr>
        <w:t>，双方</w:t>
      </w:r>
      <w:r>
        <w:rPr>
          <w:rFonts w:hint="eastAsia" w:hAnsi="宋体"/>
          <w:color w:val="auto"/>
          <w:sz w:val="24"/>
          <w:highlight w:val="none"/>
        </w:rPr>
        <w:t>选择由甲方所在地</w:t>
      </w:r>
      <w:r>
        <w:rPr>
          <w:rFonts w:hint="eastAsia" w:hAnsi="宋体"/>
          <w:color w:val="auto"/>
          <w:sz w:val="24"/>
          <w:highlight w:val="none"/>
          <w:lang w:eastAsia="zh-CN"/>
        </w:rPr>
        <w:t>人民法院</w:t>
      </w:r>
      <w:r>
        <w:rPr>
          <w:rFonts w:hint="eastAsia" w:hAnsi="宋体"/>
          <w:color w:val="auto"/>
          <w:sz w:val="24"/>
          <w:highlight w:val="none"/>
        </w:rPr>
        <w:t>管辖。</w:t>
      </w:r>
      <w:bookmarkStart w:id="330" w:name="_Toc239233920"/>
      <w:bookmarkStart w:id="331" w:name="_Toc211911354"/>
      <w:bookmarkStart w:id="332" w:name="_Toc247334847"/>
      <w:bookmarkStart w:id="333" w:name="_Toc225654650"/>
      <w:bookmarkStart w:id="334" w:name="_Toc185395255"/>
      <w:bookmarkStart w:id="335" w:name="_Toc239568424"/>
      <w:bookmarkStart w:id="336" w:name="_Toc232492934"/>
      <w:bookmarkStart w:id="337" w:name="_Toc237145412"/>
      <w:bookmarkStart w:id="338" w:name="_Toc241833909"/>
      <w:bookmarkStart w:id="339" w:name="_Toc225670757"/>
      <w:bookmarkStart w:id="340" w:name="_Toc282696231"/>
      <w:bookmarkStart w:id="341" w:name="_Toc286993793"/>
      <w:bookmarkStart w:id="342" w:name="_Toc211854455"/>
      <w:bookmarkStart w:id="343" w:name="_Toc225244858"/>
      <w:bookmarkStart w:id="344" w:name="_Toc238984981"/>
      <w:bookmarkStart w:id="345" w:name="_Toc283019219"/>
      <w:bookmarkStart w:id="346" w:name="_Toc251768868"/>
      <w:bookmarkStart w:id="347" w:name="_Toc212019600"/>
    </w:p>
    <w:p w14:paraId="5DE55D95">
      <w:pPr>
        <w:keepNext w:val="0"/>
        <w:keepLines w:val="0"/>
        <w:pageBreakBefore w:val="0"/>
        <w:widowControl w:val="0"/>
        <w:tabs>
          <w:tab w:val="left" w:pos="0"/>
        </w:tabs>
        <w:kinsoku/>
        <w:wordWrap/>
        <w:overflowPunct/>
        <w:topLinePunct w:val="0"/>
        <w:autoSpaceDE/>
        <w:autoSpaceDN/>
        <w:bidi w:val="0"/>
        <w:snapToGrid/>
        <w:spacing w:line="360" w:lineRule="auto"/>
        <w:ind w:firstLine="562" w:firstLineChars="200"/>
        <w:outlineLvl w:val="0"/>
        <w:rPr>
          <w:b/>
          <w:bCs/>
          <w:color w:val="auto"/>
          <w:highlight w:val="none"/>
        </w:rPr>
      </w:pPr>
      <w:bookmarkStart w:id="348" w:name="_Toc21524"/>
      <w:bookmarkStart w:id="349" w:name="_Toc12324"/>
      <w:r>
        <w:rPr>
          <w:rFonts w:hint="eastAsia"/>
          <w:b/>
          <w:bCs/>
          <w:color w:val="auto"/>
          <w:highlight w:val="none"/>
          <w:lang w:val="en-US" w:eastAsia="zh-CN"/>
        </w:rPr>
        <w:t xml:space="preserve">第十二条 </w:t>
      </w:r>
      <w:r>
        <w:rPr>
          <w:b/>
          <w:bCs/>
          <w:color w:val="auto"/>
          <w:highlight w:val="none"/>
        </w:rPr>
        <w:t>合同</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Fonts w:hint="eastAsia"/>
          <w:b/>
          <w:bCs/>
          <w:color w:val="auto"/>
          <w:highlight w:val="none"/>
        </w:rPr>
        <w:t>生效及其他</w:t>
      </w:r>
      <w:bookmarkEnd w:id="348"/>
      <w:bookmarkEnd w:id="349"/>
    </w:p>
    <w:p w14:paraId="1466A6BD">
      <w:pPr>
        <w:keepNext w:val="0"/>
        <w:keepLines w:val="0"/>
        <w:pageBreakBefore w:val="0"/>
        <w:widowControl w:val="0"/>
        <w:kinsoku/>
        <w:wordWrap/>
        <w:overflowPunct/>
        <w:topLinePunct w:val="0"/>
        <w:autoSpaceDE/>
        <w:autoSpaceDN/>
        <w:bidi w:val="0"/>
        <w:snapToGrid/>
        <w:spacing w:line="360" w:lineRule="auto"/>
        <w:ind w:firstLine="480" w:firstLineChars="200"/>
        <w:rPr>
          <w:rFonts w:hAnsi="宋体"/>
          <w:color w:val="auto"/>
          <w:sz w:val="24"/>
          <w:highlight w:val="none"/>
        </w:rPr>
      </w:pPr>
      <w:r>
        <w:rPr>
          <w:rFonts w:hint="eastAsia" w:hAnsi="宋体"/>
          <w:color w:val="auto"/>
          <w:sz w:val="24"/>
          <w:highlight w:val="none"/>
          <w:lang w:eastAsia="zh-CN"/>
        </w:rPr>
        <w:t>1.</w:t>
      </w:r>
      <w:r>
        <w:rPr>
          <w:rFonts w:hint="eastAsia" w:hAnsi="宋体"/>
          <w:color w:val="auto"/>
          <w:sz w:val="24"/>
          <w:highlight w:val="none"/>
        </w:rPr>
        <w:t>合同经双方法定代表人或授权委托代理人签字并加盖单位公章后生效。</w:t>
      </w:r>
    </w:p>
    <w:p w14:paraId="3E0CD06C">
      <w:pPr>
        <w:keepNext w:val="0"/>
        <w:keepLines w:val="0"/>
        <w:pageBreakBefore w:val="0"/>
        <w:widowControl w:val="0"/>
        <w:kinsoku/>
        <w:wordWrap/>
        <w:overflowPunct/>
        <w:topLinePunct w:val="0"/>
        <w:autoSpaceDE/>
        <w:autoSpaceDN/>
        <w:bidi w:val="0"/>
        <w:snapToGrid/>
        <w:spacing w:line="360" w:lineRule="auto"/>
        <w:ind w:firstLine="480" w:firstLineChars="200"/>
        <w:rPr>
          <w:rFonts w:hAnsi="宋体"/>
          <w:color w:val="auto"/>
          <w:sz w:val="24"/>
          <w:highlight w:val="none"/>
        </w:rPr>
      </w:pPr>
      <w:r>
        <w:rPr>
          <w:rFonts w:hint="eastAsia" w:hAnsi="宋体"/>
          <w:color w:val="auto"/>
          <w:sz w:val="24"/>
          <w:highlight w:val="none"/>
          <w:lang w:eastAsia="zh-CN"/>
        </w:rPr>
        <w:t>2.</w:t>
      </w:r>
      <w:r>
        <w:rPr>
          <w:rFonts w:hint="eastAsia" w:hAnsi="宋体"/>
          <w:color w:val="auto"/>
          <w:sz w:val="24"/>
          <w:highlight w:val="none"/>
        </w:rPr>
        <w:t>合同执行中涉及采购资金和采购内容修改或补充的，须经</w:t>
      </w:r>
      <w:r>
        <w:rPr>
          <w:rFonts w:hint="eastAsia" w:hAnsi="宋体"/>
          <w:color w:val="auto"/>
          <w:sz w:val="24"/>
          <w:highlight w:val="none"/>
          <w:lang w:val="en-US" w:eastAsia="zh-CN"/>
        </w:rPr>
        <w:t>双方相关部门</w:t>
      </w:r>
      <w:r>
        <w:rPr>
          <w:rFonts w:hint="eastAsia" w:hAnsi="宋体"/>
          <w:color w:val="auto"/>
          <w:sz w:val="24"/>
          <w:highlight w:val="none"/>
        </w:rPr>
        <w:t>审批，并</w:t>
      </w:r>
      <w:r>
        <w:rPr>
          <w:rFonts w:hint="eastAsia" w:hAnsi="宋体"/>
          <w:color w:val="auto"/>
          <w:sz w:val="24"/>
          <w:highlight w:val="none"/>
          <w:lang w:eastAsia="zh-CN"/>
        </w:rPr>
        <w:t>签订</w:t>
      </w:r>
      <w:r>
        <w:rPr>
          <w:rFonts w:hint="eastAsia" w:hAnsi="宋体"/>
          <w:color w:val="auto"/>
          <w:sz w:val="24"/>
          <w:highlight w:val="none"/>
        </w:rPr>
        <w:t>书面补充协议</w:t>
      </w:r>
      <w:r>
        <w:rPr>
          <w:rFonts w:hint="eastAsia" w:hAnsi="宋体"/>
          <w:color w:val="auto"/>
          <w:sz w:val="24"/>
          <w:highlight w:val="none"/>
          <w:lang w:eastAsia="zh-CN"/>
        </w:rPr>
        <w:t>，报</w:t>
      </w:r>
      <w:r>
        <w:rPr>
          <w:rFonts w:hint="eastAsia" w:hAnsi="宋体"/>
          <w:color w:val="auto"/>
          <w:sz w:val="24"/>
          <w:highlight w:val="none"/>
        </w:rPr>
        <w:t>管理部门备案，方可作为主合同不可分割的一部分。</w:t>
      </w:r>
    </w:p>
    <w:p w14:paraId="3E3DFB70">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hAnsi="宋体"/>
          <w:color w:val="auto"/>
          <w:sz w:val="24"/>
          <w:highlight w:val="none"/>
        </w:rPr>
      </w:pPr>
      <w:r>
        <w:rPr>
          <w:rFonts w:hint="eastAsia" w:hAnsi="宋体"/>
          <w:color w:val="auto"/>
          <w:sz w:val="24"/>
          <w:highlight w:val="none"/>
          <w:lang w:eastAsia="zh-CN"/>
        </w:rPr>
        <w:t>3.</w:t>
      </w:r>
      <w:r>
        <w:rPr>
          <w:rFonts w:hint="eastAsia" w:hAnsi="宋体"/>
          <w:color w:val="auto"/>
          <w:sz w:val="24"/>
          <w:highlight w:val="none"/>
        </w:rPr>
        <w:t>合同双方确认的乙方的送达地址为</w:t>
      </w:r>
      <w:r>
        <w:rPr>
          <w:rFonts w:hint="eastAsia" w:hAnsi="宋体"/>
          <w:color w:val="auto"/>
          <w:sz w:val="24"/>
          <w:highlight w:val="none"/>
          <w:u w:val="single"/>
        </w:rPr>
        <w:t xml:space="preserve">           </w:t>
      </w:r>
      <w:r>
        <w:rPr>
          <w:rFonts w:hint="eastAsia" w:hAnsi="宋体"/>
          <w:color w:val="auto"/>
          <w:sz w:val="24"/>
          <w:highlight w:val="none"/>
          <w:u w:val="single"/>
          <w:lang w:val="en-US" w:eastAsia="zh-CN"/>
        </w:rPr>
        <w:t xml:space="preserve">         </w:t>
      </w:r>
      <w:r>
        <w:rPr>
          <w:rFonts w:hint="eastAsia" w:hAnsi="宋体"/>
          <w:color w:val="auto"/>
          <w:sz w:val="24"/>
          <w:highlight w:val="none"/>
          <w:u w:val="single"/>
        </w:rPr>
        <w:t xml:space="preserve">       </w:t>
      </w:r>
      <w:r>
        <w:rPr>
          <w:rFonts w:hint="eastAsia" w:hAnsi="宋体"/>
          <w:color w:val="auto"/>
          <w:sz w:val="24"/>
          <w:highlight w:val="none"/>
          <w:u w:val="single"/>
          <w:lang w:eastAsia="zh-CN"/>
        </w:rPr>
        <w:t>。</w:t>
      </w:r>
      <w:r>
        <w:rPr>
          <w:rFonts w:hint="eastAsia" w:hAnsi="宋体"/>
          <w:color w:val="auto"/>
          <w:sz w:val="24"/>
          <w:highlight w:val="none"/>
          <w:lang w:eastAsia="zh-CN"/>
        </w:rPr>
        <w:t>因上述地址注明不准确，或地址变更后未及时书面告知甲方确认的送达地址，导致合同往来文件及法律文书被拒绝签收等情形，应自行承担有效送达的法律后果。</w:t>
      </w:r>
      <w:r>
        <w:rPr>
          <w:rFonts w:hint="eastAsia" w:hAnsi="宋体"/>
          <w:color w:val="auto"/>
          <w:sz w:val="24"/>
          <w:highlight w:val="none"/>
        </w:rPr>
        <w:t>邮寄送达的，以文书退回之日视为送达之日；直接送达的，送达人当场在送达回证上记明情况之日为送达之日。</w:t>
      </w:r>
    </w:p>
    <w:p w14:paraId="1EB98C08">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lang w:eastAsia="zh-CN"/>
        </w:rPr>
      </w:pPr>
      <w:r>
        <w:rPr>
          <w:rFonts w:hint="eastAsia" w:ascii="Times New Roman" w:hAnsi="宋体" w:eastAsia="宋体" w:cs="Times New Roman"/>
          <w:color w:val="auto"/>
          <w:sz w:val="24"/>
          <w:highlight w:val="none"/>
          <w:lang w:val="en-US" w:eastAsia="zh-CN"/>
        </w:rPr>
        <w:t>4.</w:t>
      </w:r>
      <w:r>
        <w:rPr>
          <w:rFonts w:hint="eastAsia" w:ascii="宋体" w:hAnsi="宋体" w:cs="宋体"/>
          <w:color w:val="auto"/>
          <w:sz w:val="24"/>
          <w:szCs w:val="24"/>
          <w:highlight w:val="none"/>
          <w:lang w:eastAsia="zh-CN"/>
        </w:rPr>
        <w:t>本合同一式□□份，自双方签章之日起生效。甲方执叁份，乙方执□□份，各份具有同等法律效力。</w:t>
      </w:r>
    </w:p>
    <w:p w14:paraId="1F95AF91">
      <w:pPr>
        <w:keepNext w:val="0"/>
        <w:keepLines w:val="0"/>
        <w:pageBreakBefore w:val="0"/>
        <w:widowControl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Times New Roman" w:hAnsi="宋体" w:eastAsia="宋体" w:cs="Times New Roman"/>
          <w:color w:val="auto"/>
          <w:sz w:val="24"/>
          <w:highlight w:val="none"/>
          <w:lang w:val="en-US" w:eastAsia="zh-CN"/>
        </w:rPr>
        <w:t>5.</w:t>
      </w:r>
      <w:r>
        <w:rPr>
          <w:rFonts w:hint="eastAsia" w:ascii="宋体" w:hAnsi="宋体" w:eastAsia="宋体" w:cs="宋体"/>
          <w:color w:val="auto"/>
          <w:sz w:val="24"/>
          <w:szCs w:val="24"/>
          <w:highlight w:val="none"/>
        </w:rPr>
        <w:t>其他未尽事宜，按</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文件及乙方</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文件执行。</w:t>
      </w:r>
    </w:p>
    <w:tbl>
      <w:tblPr>
        <w:tblStyle w:val="58"/>
        <w:tblpPr w:leftFromText="180" w:rightFromText="180" w:vertAnchor="text" w:horzAnchor="page" w:tblpX="1889" w:tblpY="308"/>
        <w:tblOverlap w:val="never"/>
        <w:tblW w:w="8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8"/>
        <w:gridCol w:w="4050"/>
      </w:tblGrid>
      <w:tr w14:paraId="7DF7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4" w:hRule="atLeast"/>
        </w:trPr>
        <w:tc>
          <w:tcPr>
            <w:tcW w:w="4238" w:type="dxa"/>
            <w:noWrap w:val="0"/>
            <w:vAlign w:val="top"/>
          </w:tcPr>
          <w:p w14:paraId="5BB9D5A8">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甲方（</w:t>
            </w:r>
            <w:r>
              <w:rPr>
                <w:rFonts w:hint="eastAsia" w:ascii="宋体" w:hAnsi="宋体"/>
                <w:color w:val="auto"/>
                <w:sz w:val="24"/>
                <w:szCs w:val="24"/>
                <w:highlight w:val="none"/>
                <w:lang w:val="en-US" w:eastAsia="zh-CN"/>
              </w:rPr>
              <w:t>盖</w:t>
            </w:r>
            <w:r>
              <w:rPr>
                <w:rFonts w:hint="eastAsia" w:ascii="宋体" w:hAnsi="宋体"/>
                <w:color w:val="auto"/>
                <w:sz w:val="24"/>
                <w:szCs w:val="24"/>
                <w:highlight w:val="none"/>
              </w:rPr>
              <w:t>章）：</w:t>
            </w:r>
            <w:r>
              <w:rPr>
                <w:rFonts w:hint="eastAsia" w:ascii="宋体" w:hAnsi="宋体"/>
                <w:color w:val="auto"/>
                <w:sz w:val="24"/>
                <w:szCs w:val="24"/>
                <w:highlight w:val="none"/>
                <w:lang w:val="en-US" w:eastAsia="zh-CN"/>
              </w:rPr>
              <w:t xml:space="preserve"> </w:t>
            </w:r>
          </w:p>
          <w:p w14:paraId="4AF5266C">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法定代理人</w:t>
            </w:r>
          </w:p>
          <w:p w14:paraId="5B390E7E">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或</w:t>
            </w:r>
            <w:r>
              <w:rPr>
                <w:rFonts w:hint="eastAsia" w:ascii="宋体" w:hAnsi="宋体"/>
                <w:color w:val="auto"/>
                <w:sz w:val="24"/>
                <w:szCs w:val="24"/>
                <w:highlight w:val="none"/>
              </w:rPr>
              <w:t>委托代理人：</w:t>
            </w:r>
          </w:p>
          <w:p w14:paraId="3871FCED">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地址：</w:t>
            </w:r>
          </w:p>
          <w:p w14:paraId="16D5EEAB">
            <w:pPr>
              <w:keepNext w:val="0"/>
              <w:keepLines w:val="0"/>
              <w:pageBreakBefore w:val="0"/>
              <w:widowControl w:val="0"/>
              <w:kinsoku/>
              <w:wordWrap/>
              <w:overflowPunct/>
              <w:topLinePunct w:val="0"/>
              <w:autoSpaceDE/>
              <w:autoSpaceDN/>
              <w:bidi w:val="0"/>
              <w:snapToGrid/>
              <w:spacing w:line="480" w:lineRule="exact"/>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 xml:space="preserve">联系人：  </w:t>
            </w:r>
          </w:p>
          <w:p w14:paraId="40CEC06D">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w:t>
            </w:r>
            <w:r>
              <w:rPr>
                <w:rFonts w:hint="eastAsia" w:ascii="宋体" w:hAnsi="宋体"/>
                <w:color w:val="auto"/>
                <w:sz w:val="24"/>
                <w:szCs w:val="24"/>
                <w:highlight w:val="none"/>
              </w:rPr>
              <w:t>电话：</w:t>
            </w:r>
            <w:r>
              <w:rPr>
                <w:rFonts w:hint="eastAsia" w:ascii="宋体" w:hAnsi="宋体"/>
                <w:color w:val="auto"/>
                <w:sz w:val="24"/>
                <w:szCs w:val="24"/>
                <w:highlight w:val="none"/>
                <w:lang w:val="en-US" w:eastAsia="zh-CN"/>
              </w:rPr>
              <w:t xml:space="preserve"> </w:t>
            </w:r>
          </w:p>
          <w:p w14:paraId="4A468D59">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开户银行：</w:t>
            </w:r>
          </w:p>
          <w:p w14:paraId="2DEA8F4A">
            <w:pPr>
              <w:keepNext w:val="0"/>
              <w:keepLines w:val="0"/>
              <w:pageBreakBefore w:val="0"/>
              <w:widowControl w:val="0"/>
              <w:kinsoku/>
              <w:wordWrap/>
              <w:overflowPunct/>
              <w:topLinePunct w:val="0"/>
              <w:autoSpaceDE/>
              <w:autoSpaceDN/>
              <w:bidi w:val="0"/>
              <w:snapToGrid/>
              <w:spacing w:line="480" w:lineRule="exact"/>
              <w:ind w:firstLine="480" w:firstLineChars="200"/>
              <w:rPr>
                <w:rFonts w:hint="default" w:eastAsia="宋体"/>
                <w:color w:val="auto"/>
                <w:highlight w:val="none"/>
                <w:lang w:val="en-US" w:eastAsia="zh-CN"/>
              </w:rPr>
            </w:pPr>
            <w:r>
              <w:rPr>
                <w:rFonts w:hint="eastAsia" w:ascii="宋体" w:hAnsi="宋体"/>
                <w:color w:val="auto"/>
                <w:sz w:val="24"/>
                <w:szCs w:val="24"/>
                <w:highlight w:val="none"/>
              </w:rPr>
              <w:t>账号：</w:t>
            </w:r>
          </w:p>
        </w:tc>
        <w:tc>
          <w:tcPr>
            <w:tcW w:w="4050" w:type="dxa"/>
            <w:noWrap w:val="0"/>
            <w:vAlign w:val="top"/>
          </w:tcPr>
          <w:p w14:paraId="3B0C583C">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乙方（</w:t>
            </w:r>
            <w:r>
              <w:rPr>
                <w:rFonts w:hint="eastAsia" w:ascii="宋体" w:hAnsi="宋体"/>
                <w:color w:val="auto"/>
                <w:sz w:val="24"/>
                <w:szCs w:val="24"/>
                <w:highlight w:val="none"/>
                <w:lang w:val="en-US" w:eastAsia="zh-CN"/>
              </w:rPr>
              <w:t>盖</w:t>
            </w:r>
            <w:r>
              <w:rPr>
                <w:rFonts w:hint="eastAsia" w:ascii="宋体" w:hAnsi="宋体"/>
                <w:color w:val="auto"/>
                <w:sz w:val="24"/>
                <w:szCs w:val="24"/>
                <w:highlight w:val="none"/>
              </w:rPr>
              <w:t>章）：</w:t>
            </w:r>
          </w:p>
          <w:p w14:paraId="06ED2434">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法定代理人</w:t>
            </w:r>
          </w:p>
          <w:p w14:paraId="69A3CE87">
            <w:pPr>
              <w:keepNext w:val="0"/>
              <w:keepLines w:val="0"/>
              <w:pageBreakBefore w:val="0"/>
              <w:widowControl w:val="0"/>
              <w:kinsoku/>
              <w:wordWrap/>
              <w:overflowPunct/>
              <w:topLinePunct w:val="0"/>
              <w:autoSpaceDE/>
              <w:autoSpaceDN/>
              <w:bidi w:val="0"/>
              <w:snapToGrid/>
              <w:spacing w:line="4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或</w:t>
            </w:r>
            <w:r>
              <w:rPr>
                <w:rFonts w:hint="eastAsia" w:ascii="宋体" w:hAnsi="宋体"/>
                <w:color w:val="auto"/>
                <w:sz w:val="24"/>
                <w:szCs w:val="24"/>
                <w:highlight w:val="none"/>
              </w:rPr>
              <w:t>委托代理人：</w:t>
            </w:r>
          </w:p>
          <w:p w14:paraId="27596D98">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地址：</w:t>
            </w:r>
          </w:p>
          <w:p w14:paraId="3E7E8719">
            <w:pPr>
              <w:keepNext w:val="0"/>
              <w:keepLines w:val="0"/>
              <w:pageBreakBefore w:val="0"/>
              <w:widowControl w:val="0"/>
              <w:kinsoku/>
              <w:wordWrap/>
              <w:overflowPunct/>
              <w:topLinePunct w:val="0"/>
              <w:autoSpaceDE/>
              <w:autoSpaceDN/>
              <w:bidi w:val="0"/>
              <w:snapToGrid/>
              <w:spacing w:line="480" w:lineRule="exact"/>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 xml:space="preserve">联系人：  </w:t>
            </w:r>
          </w:p>
          <w:p w14:paraId="56BA341E">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联系</w:t>
            </w:r>
            <w:r>
              <w:rPr>
                <w:rFonts w:hint="eastAsia" w:ascii="宋体" w:hAnsi="宋体"/>
                <w:color w:val="auto"/>
                <w:sz w:val="24"/>
                <w:szCs w:val="24"/>
                <w:highlight w:val="none"/>
              </w:rPr>
              <w:t>电话：</w:t>
            </w:r>
          </w:p>
          <w:p w14:paraId="4AB7668E">
            <w:pPr>
              <w:keepNext w:val="0"/>
              <w:keepLines w:val="0"/>
              <w:pageBreakBefore w:val="0"/>
              <w:widowControl w:val="0"/>
              <w:kinsoku/>
              <w:wordWrap/>
              <w:overflowPunct/>
              <w:topLinePunct w:val="0"/>
              <w:autoSpaceDE/>
              <w:autoSpaceDN/>
              <w:bidi w:val="0"/>
              <w:snapToGrid/>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开户银行：</w:t>
            </w:r>
          </w:p>
          <w:p w14:paraId="75446D17">
            <w:pPr>
              <w:keepNext w:val="0"/>
              <w:keepLines w:val="0"/>
              <w:pageBreakBefore w:val="0"/>
              <w:widowControl w:val="0"/>
              <w:kinsoku/>
              <w:wordWrap/>
              <w:overflowPunct/>
              <w:topLinePunct w:val="0"/>
              <w:autoSpaceDE/>
              <w:autoSpaceDN/>
              <w:bidi w:val="0"/>
              <w:snapToGrid/>
              <w:spacing w:line="480" w:lineRule="exact"/>
              <w:ind w:firstLine="480" w:firstLineChars="200"/>
              <w:rPr>
                <w:color w:val="auto"/>
                <w:highlight w:val="none"/>
              </w:rPr>
            </w:pPr>
            <w:r>
              <w:rPr>
                <w:rFonts w:hint="eastAsia" w:ascii="宋体" w:hAnsi="宋体"/>
                <w:color w:val="auto"/>
                <w:sz w:val="24"/>
                <w:szCs w:val="24"/>
                <w:highlight w:val="none"/>
              </w:rPr>
              <w:t>账号：</w:t>
            </w:r>
          </w:p>
        </w:tc>
      </w:tr>
    </w:tbl>
    <w:p w14:paraId="77B17FAA">
      <w:pPr>
        <w:rPr>
          <w:color w:val="auto"/>
          <w:highlight w:val="none"/>
        </w:rPr>
      </w:pPr>
    </w:p>
    <w:p w14:paraId="208D0345">
      <w:pPr>
        <w:rPr>
          <w:rFonts w:hint="eastAsia" w:ascii="宋体" w:hAnsi="宋体" w:eastAsia="宋体" w:cs="宋体"/>
          <w:color w:val="auto"/>
          <w:highlight w:val="none"/>
        </w:rPr>
      </w:pPr>
    </w:p>
    <w:p w14:paraId="1F006EE3">
      <w:pPr>
        <w:rPr>
          <w:rFonts w:hint="eastAsia" w:ascii="宋体" w:hAnsi="宋体" w:eastAsia="宋体" w:cs="宋体"/>
          <w:color w:val="auto"/>
          <w:highlight w:val="none"/>
        </w:rPr>
      </w:pPr>
    </w:p>
    <w:p w14:paraId="342AB86F">
      <w:pPr>
        <w:spacing w:line="400" w:lineRule="exact"/>
        <w:ind w:right="12" w:firstLine="480"/>
        <w:rPr>
          <w:rFonts w:hint="eastAsia" w:ascii="宋体" w:hAnsi="宋体" w:eastAsia="宋体" w:cs="宋体"/>
          <w:color w:val="auto"/>
          <w:sz w:val="24"/>
          <w:highlight w:val="none"/>
        </w:rPr>
      </w:pPr>
    </w:p>
    <w:p w14:paraId="41ACEF9D">
      <w:pPr>
        <w:spacing w:line="400" w:lineRule="exact"/>
        <w:ind w:right="12" w:firstLine="480"/>
        <w:rPr>
          <w:rFonts w:hint="eastAsia" w:ascii="宋体" w:hAnsi="宋体" w:eastAsia="宋体" w:cs="宋体"/>
          <w:color w:val="auto"/>
          <w:sz w:val="24"/>
          <w:highlight w:val="none"/>
        </w:rPr>
        <w:sectPr>
          <w:footerReference r:id="rId9" w:type="default"/>
          <w:footerReference r:id="rId10" w:type="even"/>
          <w:pgSz w:w="11907" w:h="16840"/>
          <w:pgMar w:top="1134" w:right="1191" w:bottom="1134" w:left="1304" w:header="964" w:footer="992" w:gutter="0"/>
          <w:pgNumType w:fmt="decimal"/>
          <w:cols w:space="720" w:num="1"/>
          <w:docGrid w:linePitch="312" w:charSpace="0"/>
        </w:sectPr>
      </w:pPr>
    </w:p>
    <w:p w14:paraId="757CD9D6">
      <w:pPr>
        <w:pStyle w:val="2"/>
        <w:keepNext/>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宋体" w:hAnsi="宋体" w:eastAsia="宋体" w:cs="宋体"/>
          <w:b/>
          <w:bCs/>
          <w:color w:val="auto"/>
          <w:highlight w:val="none"/>
        </w:rPr>
      </w:pPr>
      <w:bookmarkStart w:id="350" w:name="_Hlt41879464"/>
      <w:bookmarkEnd w:id="350"/>
      <w:bookmarkStart w:id="351" w:name="_Toc6968"/>
      <w:bookmarkStart w:id="352" w:name="_Toc65660378"/>
      <w:bookmarkStart w:id="353" w:name="_Toc9538"/>
      <w:bookmarkStart w:id="354" w:name="_Toc12789072"/>
      <w:bookmarkStart w:id="355" w:name="_Toc4322"/>
      <w:bookmarkStart w:id="356" w:name="_Toc27695"/>
      <w:bookmarkStart w:id="357" w:name="_Toc3235"/>
      <w:r>
        <w:rPr>
          <w:rFonts w:hint="eastAsia" w:ascii="宋体" w:hAnsi="宋体" w:eastAsia="宋体" w:cs="宋体"/>
          <w:b/>
          <w:bCs/>
          <w:color w:val="auto"/>
          <w:highlight w:val="none"/>
        </w:rPr>
        <w:t>第七篇  响应文件格式要求</w:t>
      </w:r>
      <w:bookmarkEnd w:id="351"/>
      <w:bookmarkEnd w:id="352"/>
      <w:bookmarkEnd w:id="353"/>
      <w:bookmarkEnd w:id="354"/>
      <w:bookmarkEnd w:id="355"/>
      <w:bookmarkEnd w:id="356"/>
      <w:bookmarkEnd w:id="357"/>
    </w:p>
    <w:p w14:paraId="44AE10C9">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358" w:name="_Toc26934"/>
      <w:bookmarkStart w:id="359" w:name="_Toc20199"/>
      <w:r>
        <w:rPr>
          <w:rFonts w:hint="eastAsia" w:ascii="宋体" w:hAnsi="宋体" w:eastAsia="宋体" w:cs="宋体"/>
          <w:b/>
          <w:color w:val="auto"/>
          <w:sz w:val="24"/>
          <w:szCs w:val="24"/>
          <w:highlight w:val="none"/>
        </w:rPr>
        <w:t>一、经济部分</w:t>
      </w:r>
      <w:bookmarkEnd w:id="358"/>
      <w:bookmarkEnd w:id="359"/>
    </w:p>
    <w:p w14:paraId="34BC9F6C">
      <w:pPr>
        <w:spacing w:line="400" w:lineRule="exact"/>
        <w:ind w:firstLine="480" w:firstLineChars="200"/>
        <w:outlineLvl w:val="1"/>
        <w:rPr>
          <w:rFonts w:hint="eastAsia" w:ascii="宋体" w:hAnsi="宋体" w:eastAsia="宋体" w:cs="宋体"/>
          <w:color w:val="auto"/>
          <w:sz w:val="24"/>
          <w:szCs w:val="24"/>
          <w:highlight w:val="none"/>
        </w:rPr>
      </w:pPr>
      <w:bookmarkStart w:id="360" w:name="_Toc31286"/>
      <w:bookmarkStart w:id="361" w:name="_Toc19063"/>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报价函</w:t>
      </w:r>
      <w:bookmarkEnd w:id="360"/>
      <w:bookmarkEnd w:id="361"/>
    </w:p>
    <w:p w14:paraId="12AAB5E5">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362" w:name="_Toc6706"/>
      <w:bookmarkStart w:id="363" w:name="_Toc16418"/>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val="en-US" w:eastAsia="zh-CN"/>
        </w:rPr>
        <w:t>服务</w:t>
      </w:r>
      <w:r>
        <w:rPr>
          <w:rFonts w:hint="eastAsia" w:ascii="宋体" w:hAnsi="宋体" w:eastAsia="宋体" w:cs="宋体"/>
          <w:b/>
          <w:color w:val="auto"/>
          <w:sz w:val="24"/>
          <w:szCs w:val="24"/>
          <w:highlight w:val="none"/>
        </w:rPr>
        <w:t>部分</w:t>
      </w:r>
      <w:bookmarkEnd w:id="362"/>
      <w:bookmarkEnd w:id="363"/>
    </w:p>
    <w:p w14:paraId="4AD05E6E">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rPr>
        <w:t>响应偏离表</w:t>
      </w:r>
    </w:p>
    <w:p w14:paraId="5E448A20">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（二）其他资料（格式自定）</w:t>
      </w:r>
    </w:p>
    <w:p w14:paraId="6407EF8E">
      <w:pPr>
        <w:pStyle w:val="3"/>
        <w:adjustRightInd w:val="0"/>
        <w:snapToGrid w:val="0"/>
        <w:spacing w:before="0" w:after="0" w:line="400" w:lineRule="exact"/>
        <w:ind w:firstLine="482" w:firstLineChars="200"/>
        <w:jc w:val="left"/>
        <w:outlineLvl w:val="0"/>
        <w:rPr>
          <w:rFonts w:hint="eastAsia" w:ascii="宋体" w:hAnsi="宋体" w:eastAsia="宋体" w:cs="宋体"/>
          <w:b/>
          <w:color w:val="auto"/>
          <w:sz w:val="24"/>
          <w:szCs w:val="24"/>
          <w:highlight w:val="none"/>
        </w:rPr>
      </w:pPr>
      <w:bookmarkStart w:id="364" w:name="_Toc1848"/>
      <w:bookmarkStart w:id="365" w:name="_Toc28420"/>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lang w:val="en-US" w:eastAsia="zh-CN"/>
        </w:rPr>
        <w:t>商务</w:t>
      </w:r>
      <w:r>
        <w:rPr>
          <w:rFonts w:hint="eastAsia" w:ascii="宋体" w:hAnsi="宋体" w:eastAsia="宋体" w:cs="宋体"/>
          <w:b/>
          <w:color w:val="auto"/>
          <w:sz w:val="24"/>
          <w:szCs w:val="24"/>
          <w:highlight w:val="none"/>
        </w:rPr>
        <w:t>部分</w:t>
      </w:r>
      <w:bookmarkEnd w:id="364"/>
      <w:bookmarkEnd w:id="365"/>
    </w:p>
    <w:p w14:paraId="32C4BFE2">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cs="宋体"/>
          <w:color w:val="auto"/>
          <w:sz w:val="24"/>
          <w:szCs w:val="24"/>
          <w:highlight w:val="none"/>
          <w:lang w:val="en-US" w:eastAsia="zh-CN"/>
        </w:rPr>
        <w:t>商务</w:t>
      </w:r>
      <w:r>
        <w:rPr>
          <w:rFonts w:hint="eastAsia" w:ascii="宋体" w:hAnsi="宋体" w:eastAsia="宋体" w:cs="宋体"/>
          <w:color w:val="auto"/>
          <w:sz w:val="24"/>
          <w:szCs w:val="24"/>
          <w:highlight w:val="none"/>
        </w:rPr>
        <w:t>响应偏离表</w:t>
      </w:r>
    </w:p>
    <w:p w14:paraId="081CC85D">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cs="宋体"/>
          <w:color w:val="auto"/>
          <w:sz w:val="24"/>
          <w:szCs w:val="24"/>
          <w:highlight w:val="none"/>
          <w:lang w:val="en-US" w:eastAsia="zh-CN"/>
        </w:rPr>
        <w:t>其他资料</w:t>
      </w:r>
      <w:r>
        <w:rPr>
          <w:rFonts w:hint="eastAsia" w:ascii="宋体" w:hAnsi="宋体" w:eastAsia="宋体" w:cs="宋体"/>
          <w:color w:val="auto"/>
          <w:sz w:val="24"/>
          <w:szCs w:val="24"/>
          <w:highlight w:val="none"/>
        </w:rPr>
        <w:t>（格式自定）</w:t>
      </w:r>
    </w:p>
    <w:p w14:paraId="5A52737E">
      <w:pPr>
        <w:pStyle w:val="3"/>
        <w:keepNext/>
        <w:keepLines/>
        <w:pageBreakBefore w:val="0"/>
        <w:widowControl w:val="0"/>
        <w:kinsoku/>
        <w:wordWrap/>
        <w:overflowPunct/>
        <w:topLinePunct w:val="0"/>
        <w:autoSpaceDE/>
        <w:autoSpaceDN/>
        <w:bidi w:val="0"/>
        <w:adjustRightInd w:val="0"/>
        <w:snapToGrid w:val="0"/>
        <w:spacing w:before="0" w:after="0" w:line="400" w:lineRule="exact"/>
        <w:ind w:firstLine="482" w:firstLineChars="200"/>
        <w:jc w:val="left"/>
        <w:textAlignment w:val="auto"/>
        <w:outlineLvl w:val="1"/>
        <w:rPr>
          <w:rFonts w:hint="eastAsia" w:ascii="宋体" w:hAnsi="宋体" w:eastAsia="宋体" w:cs="宋体"/>
          <w:b/>
          <w:color w:val="auto"/>
          <w:sz w:val="24"/>
          <w:szCs w:val="24"/>
          <w:highlight w:val="none"/>
        </w:rPr>
      </w:pPr>
      <w:bookmarkStart w:id="366" w:name="_Toc6105"/>
      <w:bookmarkStart w:id="367" w:name="_Toc18291"/>
      <w:r>
        <w:rPr>
          <w:rFonts w:hint="eastAsia" w:ascii="宋体" w:hAnsi="宋体" w:eastAsia="宋体" w:cs="宋体"/>
          <w:b/>
          <w:color w:val="auto"/>
          <w:sz w:val="24"/>
          <w:szCs w:val="24"/>
          <w:highlight w:val="none"/>
        </w:rPr>
        <w:t>四、资格条件</w:t>
      </w:r>
      <w:bookmarkEnd w:id="366"/>
      <w:bookmarkEnd w:id="367"/>
    </w:p>
    <w:p w14:paraId="1ECB565C">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w:t>
      </w:r>
    </w:p>
    <w:p w14:paraId="4F4A2C54">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167597B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56977D7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（四）基本资格条件承诺函（格式）</w:t>
      </w:r>
    </w:p>
    <w:p w14:paraId="3D86BAE9">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（五）特定资格条件证书或证明文件</w:t>
      </w:r>
      <w:bookmarkStart w:id="368" w:name="_Toc14244"/>
      <w:bookmarkStart w:id="369" w:name="_Toc26343"/>
      <w:bookmarkStart w:id="370" w:name="_Toc6924"/>
      <w:bookmarkStart w:id="371" w:name="_Toc65660379"/>
      <w:bookmarkStart w:id="372" w:name="_Toc313008356"/>
      <w:bookmarkStart w:id="373" w:name="_Toc313888360"/>
      <w:bookmarkStart w:id="374" w:name="_Toc342913419"/>
      <w:bookmarkStart w:id="375" w:name="_Toc283382454"/>
      <w:bookmarkStart w:id="376" w:name="_Toc12789073"/>
    </w:p>
    <w:p w14:paraId="4FC83299">
      <w:pPr>
        <w:pStyle w:val="3"/>
        <w:adjustRightInd w:val="0"/>
        <w:snapToGrid w:val="0"/>
        <w:spacing w:before="0" w:after="0" w:line="400" w:lineRule="exact"/>
        <w:ind w:firstLine="482" w:firstLineChars="200"/>
        <w:outlineLvl w:val="0"/>
        <w:rPr>
          <w:rFonts w:hint="eastAsia" w:ascii="宋体" w:hAnsi="宋体" w:eastAsia="宋体" w:cs="宋体"/>
          <w:b/>
          <w:bCs/>
          <w:color w:val="auto"/>
          <w:sz w:val="24"/>
          <w:highlight w:val="none"/>
        </w:rPr>
        <w:sectPr>
          <w:headerReference r:id="rId11" w:type="default"/>
          <w:pgSz w:w="11907" w:h="16840"/>
          <w:pgMar w:top="1134" w:right="1191" w:bottom="1134" w:left="1304" w:header="851" w:footer="992" w:gutter="0"/>
          <w:pgNumType w:fmt="decimal"/>
          <w:cols w:space="720" w:num="1"/>
          <w:docGrid w:linePitch="380" w:charSpace="-5735"/>
        </w:sectPr>
      </w:pPr>
      <w:bookmarkStart w:id="377" w:name="_Toc23818"/>
      <w:bookmarkStart w:id="378" w:name="_Toc5786"/>
    </w:p>
    <w:p w14:paraId="744A8C22">
      <w:pPr>
        <w:pStyle w:val="3"/>
        <w:adjustRightInd w:val="0"/>
        <w:snapToGrid w:val="0"/>
        <w:spacing w:before="0" w:after="0" w:line="400" w:lineRule="exact"/>
        <w:ind w:firstLine="482" w:firstLineChars="200"/>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一、经济部分</w:t>
      </w:r>
      <w:bookmarkEnd w:id="368"/>
      <w:bookmarkEnd w:id="369"/>
      <w:bookmarkEnd w:id="370"/>
      <w:bookmarkEnd w:id="371"/>
      <w:bookmarkEnd w:id="372"/>
      <w:bookmarkEnd w:id="373"/>
      <w:bookmarkEnd w:id="374"/>
      <w:bookmarkEnd w:id="377"/>
      <w:bookmarkEnd w:id="378"/>
    </w:p>
    <w:bookmarkEnd w:id="375"/>
    <w:bookmarkEnd w:id="376"/>
    <w:p w14:paraId="6E49079D">
      <w:pPr>
        <w:tabs>
          <w:tab w:val="left" w:pos="6300"/>
        </w:tabs>
        <w:snapToGrid w:val="0"/>
        <w:spacing w:line="312" w:lineRule="auto"/>
        <w:ind w:firstLine="480" w:firstLineChars="200"/>
        <w:outlineLvl w:val="1"/>
        <w:rPr>
          <w:rFonts w:hint="eastAsia" w:ascii="宋体" w:hAnsi="宋体" w:eastAsia="宋体" w:cs="宋体"/>
          <w:color w:val="auto"/>
          <w:sz w:val="24"/>
          <w:szCs w:val="24"/>
          <w:highlight w:val="none"/>
        </w:rPr>
      </w:pPr>
      <w:bookmarkStart w:id="379" w:name="_Toc5343"/>
      <w:bookmarkStart w:id="380" w:name="_Toc8583"/>
      <w:bookmarkStart w:id="381" w:name="_Toc313008357"/>
      <w:bookmarkStart w:id="382" w:name="_Toc342913420"/>
      <w:bookmarkStart w:id="383" w:name="_Toc106030907"/>
      <w:bookmarkStart w:id="384" w:name="_Toc313888361"/>
      <w:bookmarkStart w:id="385" w:name="_Toc76462351"/>
      <w:bookmarkStart w:id="386" w:name="_Toc5798"/>
      <w:r>
        <w:rPr>
          <w:rFonts w:hint="eastAsia" w:ascii="宋体" w:hAnsi="宋体" w:eastAsia="宋体" w:cs="宋体"/>
          <w:color w:val="auto"/>
          <w:sz w:val="24"/>
          <w:szCs w:val="24"/>
          <w:highlight w:val="none"/>
        </w:rPr>
        <w:t>（一）竞争性磋商报价函</w:t>
      </w:r>
      <w:bookmarkEnd w:id="379"/>
      <w:bookmarkEnd w:id="380"/>
    </w:p>
    <w:p w14:paraId="7D5E98CA">
      <w:pPr>
        <w:ind w:firstLine="562" w:firstLineChars="200"/>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竞争性磋商报价函</w:t>
      </w:r>
    </w:p>
    <w:p w14:paraId="782FAFC4">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采购人</w:t>
      </w:r>
      <w:r>
        <w:rPr>
          <w:rFonts w:hint="eastAsia" w:ascii="宋体" w:hAnsi="宋体" w:eastAsia="宋体" w:cs="宋体"/>
          <w:color w:val="auto"/>
          <w:sz w:val="24"/>
          <w:szCs w:val="24"/>
          <w:highlight w:val="none"/>
          <w:u w:val="single"/>
        </w:rPr>
        <w:t>名称）</w:t>
      </w:r>
      <w:r>
        <w:rPr>
          <w:rFonts w:hint="eastAsia" w:ascii="宋体" w:hAnsi="宋体" w:eastAsia="宋体" w:cs="宋体"/>
          <w:color w:val="auto"/>
          <w:sz w:val="24"/>
          <w:szCs w:val="24"/>
          <w:highlight w:val="none"/>
        </w:rPr>
        <w:t>：</w:t>
      </w:r>
    </w:p>
    <w:p w14:paraId="4A21CD74">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我方收到____________________________（磋商项目名称）的竞争性磋商文件，经详细研究，决定参加该项目的磋商。</w:t>
      </w:r>
    </w:p>
    <w:p w14:paraId="09380895">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1.愿意按照竞争性磋商文件中的一切要求，提供本项目的服务，</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p>
    <w:p w14:paraId="50FD9B0B">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份，电子文档</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14:paraId="58B17470">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3.我方承诺：本次磋商的有效期为提交响应文件截止时间起90天。</w:t>
      </w:r>
    </w:p>
    <w:p w14:paraId="3C0C07E2">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4.我方完全理解和接受贵方竞争性磋商文件的一切规定和要求及评审办法。</w:t>
      </w:r>
    </w:p>
    <w:p w14:paraId="719095DB">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5.在整个竞争性磋商过程中，我方若有违规行为，</w:t>
      </w:r>
      <w:r>
        <w:rPr>
          <w:rFonts w:hint="eastAsia" w:ascii="宋体" w:hAnsi="宋体" w:eastAsia="宋体" w:cs="宋体"/>
          <w:color w:val="auto"/>
          <w:sz w:val="24"/>
          <w:szCs w:val="24"/>
          <w:highlight w:val="none"/>
          <w:lang w:eastAsia="zh-CN"/>
        </w:rPr>
        <w:t>将</w:t>
      </w:r>
      <w:r>
        <w:rPr>
          <w:rFonts w:hint="eastAsia" w:ascii="宋体" w:hAnsi="宋体" w:eastAsia="宋体" w:cs="宋体"/>
          <w:color w:val="auto"/>
          <w:sz w:val="24"/>
          <w:szCs w:val="24"/>
          <w:highlight w:val="none"/>
        </w:rPr>
        <w:t>按照《中华人民共和国政府采购法》和《竞争性磋商文件》之规定</w:t>
      </w:r>
      <w:r>
        <w:rPr>
          <w:rFonts w:hint="eastAsia" w:ascii="宋体" w:hAnsi="宋体" w:eastAsia="宋体" w:cs="宋体"/>
          <w:color w:val="auto"/>
          <w:sz w:val="24"/>
          <w:szCs w:val="24"/>
          <w:highlight w:val="none"/>
          <w:lang w:eastAsia="zh-CN"/>
        </w:rPr>
        <w:t>接受</w:t>
      </w:r>
      <w:r>
        <w:rPr>
          <w:rFonts w:hint="eastAsia" w:ascii="宋体" w:hAnsi="宋体" w:eastAsia="宋体" w:cs="宋体"/>
          <w:color w:val="auto"/>
          <w:sz w:val="24"/>
          <w:szCs w:val="24"/>
          <w:highlight w:val="none"/>
        </w:rPr>
        <w:t>惩罚。</w:t>
      </w:r>
    </w:p>
    <w:p w14:paraId="286A1E8B">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6.我方若成为成交供应商，将按照最终磋商结果签订合同，并且严格履行合同义务。本承诺函将成为合同不可分割的一部分，与合同具有同等的法律效力。</w:t>
      </w:r>
    </w:p>
    <w:p w14:paraId="4B30590A">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供应商（公章）或自然人签署：</w:t>
      </w:r>
    </w:p>
    <w:p w14:paraId="02265D4C">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78117369">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5EDEE323">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64BE840F">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76BCAEEF">
      <w:pPr>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3D664363">
      <w:pPr>
        <w:pStyle w:val="3"/>
        <w:adjustRightInd w:val="0"/>
        <w:snapToGrid w:val="0"/>
        <w:spacing w:before="0" w:after="0" w:line="400" w:lineRule="exact"/>
        <w:ind w:firstLine="480" w:firstLineChars="200"/>
        <w:outlineLvl w:val="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bookmarkStart w:id="387" w:name="_Toc20807"/>
      <w:bookmarkStart w:id="388" w:name="_Toc21089"/>
      <w:r>
        <w:rPr>
          <w:rFonts w:hint="eastAsia" w:ascii="宋体" w:hAnsi="宋体" w:eastAsia="宋体" w:cs="宋体"/>
          <w:b/>
          <w:bCs/>
          <w:color w:val="auto"/>
          <w:sz w:val="24"/>
          <w:highlight w:val="none"/>
        </w:rPr>
        <w:t>二、服务部分</w:t>
      </w:r>
      <w:bookmarkEnd w:id="381"/>
      <w:bookmarkEnd w:id="382"/>
      <w:bookmarkEnd w:id="383"/>
      <w:bookmarkEnd w:id="384"/>
      <w:bookmarkEnd w:id="385"/>
      <w:bookmarkEnd w:id="386"/>
      <w:bookmarkEnd w:id="387"/>
      <w:bookmarkEnd w:id="388"/>
    </w:p>
    <w:p w14:paraId="3A2E431B">
      <w:pPr>
        <w:tabs>
          <w:tab w:val="left" w:pos="6300"/>
        </w:tabs>
        <w:snapToGrid w:val="0"/>
        <w:spacing w:line="400" w:lineRule="exact"/>
        <w:ind w:firstLine="480" w:firstLineChars="200"/>
        <w:outlineLvl w:val="1"/>
        <w:rPr>
          <w:rFonts w:hint="eastAsia" w:ascii="宋体" w:hAnsi="宋体" w:eastAsia="宋体" w:cs="宋体"/>
          <w:color w:val="auto"/>
          <w:sz w:val="24"/>
          <w:szCs w:val="24"/>
          <w:highlight w:val="none"/>
        </w:rPr>
      </w:pPr>
      <w:bookmarkStart w:id="389" w:name="_Toc21861"/>
      <w:bookmarkStart w:id="390" w:name="_Toc18243"/>
      <w:r>
        <w:rPr>
          <w:rFonts w:hint="eastAsia" w:ascii="宋体" w:hAnsi="宋体" w:eastAsia="宋体" w:cs="宋体"/>
          <w:color w:val="auto"/>
          <w:sz w:val="24"/>
          <w:szCs w:val="24"/>
          <w:highlight w:val="none"/>
        </w:rPr>
        <w:t>（一）服务响应偏离表</w:t>
      </w:r>
      <w:bookmarkEnd w:id="389"/>
      <w:bookmarkEnd w:id="390"/>
      <w:r>
        <w:rPr>
          <w:rFonts w:hint="eastAsia" w:ascii="宋体" w:hAnsi="宋体" w:eastAsia="宋体" w:cs="宋体"/>
          <w:color w:val="auto"/>
          <w:sz w:val="24"/>
          <w:szCs w:val="24"/>
          <w:highlight w:val="none"/>
        </w:rPr>
        <w:t xml:space="preserve">                                </w:t>
      </w:r>
    </w:p>
    <w:p w14:paraId="2CAFC9E6">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7"/>
        <w:gridCol w:w="3081"/>
        <w:gridCol w:w="2309"/>
      </w:tblGrid>
      <w:tr w14:paraId="3D95E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noWrap w:val="0"/>
            <w:vAlign w:val="center"/>
          </w:tcPr>
          <w:p w14:paraId="23A47A64">
            <w:pPr>
              <w:tabs>
                <w:tab w:val="left" w:pos="6300"/>
              </w:tabs>
              <w:snapToGrid w:val="0"/>
              <w:spacing w:line="500" w:lineRule="exact"/>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41" w:type="pct"/>
            <w:noWrap w:val="0"/>
            <w:vAlign w:val="center"/>
          </w:tcPr>
          <w:p w14:paraId="5DBA445C">
            <w:pPr>
              <w:tabs>
                <w:tab w:val="left" w:pos="6300"/>
              </w:tabs>
              <w:snapToGrid w:val="0"/>
              <w:spacing w:line="500" w:lineRule="exact"/>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tc>
        <w:tc>
          <w:tcPr>
            <w:tcW w:w="1600" w:type="pct"/>
            <w:noWrap w:val="0"/>
            <w:vAlign w:val="center"/>
          </w:tcPr>
          <w:p w14:paraId="6501939D">
            <w:pPr>
              <w:tabs>
                <w:tab w:val="left" w:pos="6300"/>
              </w:tabs>
              <w:snapToGrid w:val="0"/>
              <w:spacing w:line="500" w:lineRule="exact"/>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199" w:type="pct"/>
            <w:noWrap w:val="0"/>
            <w:vAlign w:val="center"/>
          </w:tcPr>
          <w:p w14:paraId="38507062">
            <w:pPr>
              <w:tabs>
                <w:tab w:val="left" w:pos="6300"/>
              </w:tabs>
              <w:snapToGrid w:val="0"/>
              <w:spacing w:line="500" w:lineRule="exact"/>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差异说明</w:t>
            </w:r>
          </w:p>
        </w:tc>
      </w:tr>
      <w:tr w14:paraId="3B2E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5E01BF4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2918E39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17C34A4F">
            <w:pPr>
              <w:tabs>
                <w:tab w:val="left" w:pos="6300"/>
              </w:tabs>
              <w:snapToGrid w:val="0"/>
              <w:spacing w:line="50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提醒：请注明技术参数或具体内容以及响应文件中技术参数或具体内容的位置（页码）</w:t>
            </w:r>
          </w:p>
        </w:tc>
        <w:tc>
          <w:tcPr>
            <w:tcW w:w="1199" w:type="pct"/>
            <w:noWrap w:val="0"/>
            <w:vAlign w:val="center"/>
          </w:tcPr>
          <w:p w14:paraId="0323A7E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AC4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0DC850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0500BD1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41CCFEB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1D7C607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1FAE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5373F6C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2FAFA61B">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53C6BB3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09471BE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974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263F8353">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6E28856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5AA452A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6C220BC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1A66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01A5F6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415C3C7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1D524F1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4BC1440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61CE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0046AE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029CE9F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02B5BD3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16F274B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2DEB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139AD0E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5244161F">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1E70DDC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33569F8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57AE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3988F01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004724E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0F58326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44D88D0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501C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D122FAF">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399C689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37337F8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0137802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AD0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2FBF327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541" w:type="pct"/>
            <w:noWrap w:val="0"/>
            <w:vAlign w:val="center"/>
          </w:tcPr>
          <w:p w14:paraId="6BAFB88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600" w:type="pct"/>
            <w:noWrap w:val="0"/>
            <w:vAlign w:val="center"/>
          </w:tcPr>
          <w:p w14:paraId="7453222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1199" w:type="pct"/>
            <w:noWrap w:val="0"/>
            <w:vAlign w:val="center"/>
          </w:tcPr>
          <w:p w14:paraId="60544AA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bl>
    <w:p w14:paraId="3EEB12CA">
      <w:pPr>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供应商：                            </w:t>
      </w:r>
      <w:r>
        <w:rPr>
          <w:rFonts w:hint="eastAsia" w:ascii="宋体" w:hAnsi="宋体" w:eastAsia="宋体" w:cs="宋体"/>
          <w:color w:val="auto"/>
          <w:sz w:val="24"/>
          <w:szCs w:val="24"/>
          <w:highlight w:val="none"/>
        </w:rPr>
        <w:t>法定代表人（或其授权代表）或自然人：</w:t>
      </w:r>
    </w:p>
    <w:p w14:paraId="45433478">
      <w:pPr>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w:t>
      </w:r>
    </w:p>
    <w:p w14:paraId="6C9DF0A1">
      <w:pPr>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（供应商公章）                               （签署或盖章）</w:t>
      </w:r>
    </w:p>
    <w:p w14:paraId="4A4FCE47">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 xml:space="preserve">                                              年     月     日</w:t>
      </w:r>
    </w:p>
    <w:p w14:paraId="71742FE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8CFD13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本表</w:t>
      </w:r>
      <w:r>
        <w:rPr>
          <w:rFonts w:hint="eastAsia" w:ascii="宋体" w:hAnsi="宋体" w:cs="宋体"/>
          <w:color w:val="auto"/>
          <w:sz w:val="24"/>
          <w:szCs w:val="24"/>
          <w:highlight w:val="none"/>
          <w:lang w:eastAsia="zh-CN"/>
        </w:rPr>
        <w:t>是</w:t>
      </w:r>
      <w:r>
        <w:rPr>
          <w:rFonts w:hint="eastAsia" w:ascii="宋体" w:hAnsi="宋体" w:eastAsia="宋体" w:cs="宋体"/>
          <w:color w:val="auto"/>
          <w:sz w:val="24"/>
          <w:szCs w:val="24"/>
          <w:highlight w:val="none"/>
        </w:rPr>
        <w:t>对本项目“第二篇  项目服务需求”中所列条款进行比较和响应；</w:t>
      </w:r>
    </w:p>
    <w:p w14:paraId="0710BB7D">
      <w:pPr>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2.本表可扩展。</w:t>
      </w:r>
    </w:p>
    <w:p w14:paraId="755D370C">
      <w:pPr>
        <w:tabs>
          <w:tab w:val="left" w:pos="6300"/>
        </w:tabs>
        <w:snapToGrid w:val="0"/>
        <w:spacing w:line="400" w:lineRule="exact"/>
        <w:ind w:firstLine="560" w:firstLineChars="200"/>
        <w:outlineLvl w:val="1"/>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br w:type="page"/>
      </w:r>
      <w:bookmarkStart w:id="391" w:name="_Toc11351"/>
      <w:bookmarkStart w:id="392" w:name="_Toc7904"/>
      <w:r>
        <w:rPr>
          <w:rFonts w:hint="eastAsia" w:ascii="宋体" w:hAnsi="宋体" w:cs="宋体"/>
          <w:color w:val="auto"/>
          <w:szCs w:val="24"/>
          <w:highlight w:val="none"/>
          <w:lang w:eastAsia="zh-CN"/>
        </w:rPr>
        <w:t>（</w:t>
      </w:r>
      <w:r>
        <w:rPr>
          <w:rFonts w:hint="eastAsia" w:ascii="宋体" w:hAnsi="宋体" w:cs="宋体"/>
          <w:color w:val="auto"/>
          <w:sz w:val="24"/>
          <w:szCs w:val="24"/>
          <w:highlight w:val="none"/>
          <w:lang w:eastAsia="zh-CN"/>
        </w:rPr>
        <w:t>二）其他资料（格式自定，需与项目相关且符合磋商方要求）</w:t>
      </w:r>
      <w:bookmarkEnd w:id="391"/>
      <w:bookmarkEnd w:id="392"/>
    </w:p>
    <w:p w14:paraId="54F054D7">
      <w:pPr>
        <w:pStyle w:val="3"/>
        <w:adjustRightInd w:val="0"/>
        <w:snapToGrid w:val="0"/>
        <w:spacing w:before="0" w:after="0" w:line="400" w:lineRule="exact"/>
        <w:ind w:firstLine="640" w:firstLineChars="200"/>
        <w:outlineLvl w:val="0"/>
        <w:rPr>
          <w:rFonts w:hint="eastAsia" w:ascii="宋体" w:hAnsi="宋体" w:eastAsia="宋体" w:cs="宋体"/>
          <w:color w:val="auto"/>
          <w:sz w:val="24"/>
          <w:highlight w:val="none"/>
        </w:rPr>
      </w:pPr>
      <w:r>
        <w:rPr>
          <w:rFonts w:hint="eastAsia" w:ascii="宋体" w:hAnsi="宋体" w:eastAsia="宋体" w:cs="宋体"/>
          <w:b w:val="0"/>
          <w:color w:val="auto"/>
          <w:highlight w:val="none"/>
        </w:rPr>
        <w:br w:type="page"/>
      </w:r>
      <w:bookmarkStart w:id="393" w:name="_Toc106030908"/>
      <w:bookmarkStart w:id="394" w:name="_Toc342913421"/>
      <w:bookmarkStart w:id="395" w:name="_Toc31176"/>
      <w:bookmarkStart w:id="396" w:name="_Toc5939"/>
      <w:bookmarkStart w:id="397" w:name="_Toc76462352"/>
      <w:bookmarkStart w:id="398" w:name="_Toc25972"/>
      <w:bookmarkStart w:id="399" w:name="_Toc313888362"/>
      <w:bookmarkStart w:id="400" w:name="_Toc313008358"/>
      <w:r>
        <w:rPr>
          <w:rFonts w:hint="eastAsia" w:ascii="宋体" w:hAnsi="宋体" w:eastAsia="宋体" w:cs="宋体"/>
          <w:b/>
          <w:bCs/>
          <w:color w:val="auto"/>
          <w:sz w:val="24"/>
          <w:highlight w:val="none"/>
        </w:rPr>
        <w:t>三、商务部分</w:t>
      </w:r>
      <w:bookmarkEnd w:id="393"/>
      <w:bookmarkEnd w:id="394"/>
      <w:bookmarkEnd w:id="395"/>
      <w:bookmarkEnd w:id="396"/>
      <w:bookmarkEnd w:id="397"/>
      <w:bookmarkEnd w:id="398"/>
      <w:bookmarkEnd w:id="399"/>
      <w:bookmarkEnd w:id="400"/>
    </w:p>
    <w:p w14:paraId="394C796A">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401" w:name="_Toc9843"/>
      <w:bookmarkStart w:id="402" w:name="_Toc22665"/>
      <w:r>
        <w:rPr>
          <w:rFonts w:hint="eastAsia" w:ascii="宋体" w:hAnsi="宋体" w:eastAsia="宋体" w:cs="宋体"/>
          <w:color w:val="auto"/>
          <w:sz w:val="24"/>
          <w:szCs w:val="24"/>
          <w:highlight w:val="none"/>
        </w:rPr>
        <w:t>（一）商务响应偏离表</w:t>
      </w:r>
      <w:bookmarkEnd w:id="401"/>
      <w:bookmarkEnd w:id="402"/>
      <w:r>
        <w:rPr>
          <w:rFonts w:hint="eastAsia" w:ascii="宋体" w:hAnsi="宋体" w:eastAsia="宋体" w:cs="宋体"/>
          <w:color w:val="auto"/>
          <w:sz w:val="24"/>
          <w:szCs w:val="24"/>
          <w:highlight w:val="none"/>
        </w:rPr>
        <w:t xml:space="preserve">                           </w:t>
      </w:r>
    </w:p>
    <w:p w14:paraId="73CF576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磋商项目名称：________________________</w:t>
      </w:r>
      <w:r>
        <w:rPr>
          <w:rFonts w:hint="eastAsia" w:ascii="宋体" w:hAnsi="宋体" w:eastAsia="宋体" w:cs="宋体"/>
          <w:color w:val="auto"/>
          <w:sz w:val="24"/>
          <w:szCs w:val="24"/>
          <w:highlight w:val="none"/>
        </w:rPr>
        <w:t xml:space="preserve"> </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63EC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1BDF77BB">
            <w:pPr>
              <w:snapToGrid w:val="0"/>
              <w:spacing w:line="360" w:lineRule="auto"/>
              <w:ind w:firstLine="465"/>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序号</w:t>
            </w:r>
          </w:p>
        </w:tc>
        <w:tc>
          <w:tcPr>
            <w:tcW w:w="3179" w:type="dxa"/>
            <w:noWrap w:val="0"/>
            <w:vAlign w:val="center"/>
          </w:tcPr>
          <w:p w14:paraId="5266B866">
            <w:pPr>
              <w:tabs>
                <w:tab w:val="left" w:pos="6300"/>
              </w:tabs>
              <w:snapToGrid w:val="0"/>
              <w:spacing w:line="360" w:lineRule="auto"/>
              <w:jc w:val="center"/>
              <w:outlineLvl w:val="9"/>
              <w:rPr>
                <w:rFonts w:hint="eastAsia" w:ascii="宋体" w:hAnsi="宋体" w:eastAsia="宋体" w:cs="宋体"/>
                <w:color w:val="auto"/>
                <w:sz w:val="21"/>
                <w:szCs w:val="24"/>
                <w:highlight w:val="none"/>
              </w:rPr>
            </w:pPr>
            <w:r>
              <w:rPr>
                <w:rFonts w:hint="eastAsia" w:ascii="宋体" w:hAnsi="宋体" w:cs="宋体"/>
                <w:color w:val="auto"/>
                <w:sz w:val="21"/>
                <w:szCs w:val="24"/>
                <w:highlight w:val="none"/>
                <w:lang w:eastAsia="zh-CN"/>
              </w:rPr>
              <w:t>磋商</w:t>
            </w:r>
            <w:r>
              <w:rPr>
                <w:rFonts w:hint="eastAsia" w:ascii="宋体" w:hAnsi="宋体" w:eastAsia="宋体" w:cs="宋体"/>
                <w:color w:val="auto"/>
                <w:sz w:val="21"/>
                <w:szCs w:val="24"/>
                <w:highlight w:val="none"/>
              </w:rPr>
              <w:t>项目商务需求</w:t>
            </w:r>
          </w:p>
        </w:tc>
        <w:tc>
          <w:tcPr>
            <w:tcW w:w="2434" w:type="dxa"/>
            <w:noWrap w:val="0"/>
            <w:vAlign w:val="center"/>
          </w:tcPr>
          <w:p w14:paraId="6F45A22B">
            <w:pPr>
              <w:tabs>
                <w:tab w:val="left" w:pos="6300"/>
              </w:tabs>
              <w:snapToGrid w:val="0"/>
              <w:spacing w:line="360" w:lineRule="auto"/>
              <w:jc w:val="center"/>
              <w:outlineLvl w:val="9"/>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响应情况</w:t>
            </w:r>
          </w:p>
        </w:tc>
        <w:tc>
          <w:tcPr>
            <w:tcW w:w="2355" w:type="dxa"/>
            <w:noWrap w:val="0"/>
            <w:vAlign w:val="center"/>
          </w:tcPr>
          <w:p w14:paraId="0996DFC0">
            <w:pPr>
              <w:tabs>
                <w:tab w:val="left" w:pos="6300"/>
              </w:tabs>
              <w:snapToGrid w:val="0"/>
              <w:spacing w:line="360" w:lineRule="auto"/>
              <w:jc w:val="center"/>
              <w:outlineLvl w:val="9"/>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偏离说明</w:t>
            </w:r>
          </w:p>
        </w:tc>
      </w:tr>
      <w:tr w14:paraId="5CD7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7B4507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7FAF292C">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36D39EA0">
            <w:pPr>
              <w:tabs>
                <w:tab w:val="left" w:pos="6300"/>
              </w:tabs>
              <w:snapToGrid w:val="0"/>
              <w:spacing w:line="360" w:lineRule="auto"/>
              <w:outlineLvl w:val="9"/>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提醒：请注明具体内容以及响应文件中具体内容的位置（页码）</w:t>
            </w:r>
          </w:p>
        </w:tc>
        <w:tc>
          <w:tcPr>
            <w:tcW w:w="2355" w:type="dxa"/>
            <w:noWrap w:val="0"/>
            <w:vAlign w:val="center"/>
          </w:tcPr>
          <w:p w14:paraId="4D4713B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6D1D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E808EB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70606FE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68FC29E6">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067E3BB1">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0BB4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0E5EE386">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243703C1">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21770A65">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08DAC340">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73F0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68F415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244999F9">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74E19288">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3361B2CB">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0D04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4830796">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65573E72">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0B7DA350">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1D45A56D">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r w14:paraId="4081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274CC9F">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3179" w:type="dxa"/>
            <w:noWrap w:val="0"/>
            <w:vAlign w:val="center"/>
          </w:tcPr>
          <w:p w14:paraId="19B68C26">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434" w:type="dxa"/>
            <w:noWrap w:val="0"/>
            <w:vAlign w:val="center"/>
          </w:tcPr>
          <w:p w14:paraId="69EE0B05">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c>
          <w:tcPr>
            <w:tcW w:w="2355" w:type="dxa"/>
            <w:noWrap w:val="0"/>
            <w:vAlign w:val="center"/>
          </w:tcPr>
          <w:p w14:paraId="657CE462">
            <w:pPr>
              <w:tabs>
                <w:tab w:val="left" w:pos="6300"/>
              </w:tabs>
              <w:snapToGrid w:val="0"/>
              <w:spacing w:line="360" w:lineRule="auto"/>
              <w:jc w:val="center"/>
              <w:outlineLvl w:val="9"/>
              <w:rPr>
                <w:rFonts w:hint="eastAsia" w:ascii="宋体" w:hAnsi="宋体" w:eastAsia="宋体" w:cs="宋体"/>
                <w:color w:val="auto"/>
                <w:sz w:val="21"/>
                <w:szCs w:val="24"/>
                <w:highlight w:val="none"/>
              </w:rPr>
            </w:pPr>
          </w:p>
        </w:tc>
      </w:tr>
    </w:tbl>
    <w:p w14:paraId="5D445DB5">
      <w:pPr>
        <w:snapToGrid w:val="0"/>
        <w:spacing w:line="360" w:lineRule="auto"/>
        <w:ind w:firstLine="465"/>
        <w:rPr>
          <w:rFonts w:hint="eastAsia" w:ascii="宋体" w:hAnsi="宋体" w:eastAsia="宋体" w:cs="宋体"/>
          <w:color w:val="auto"/>
          <w:sz w:val="24"/>
          <w:szCs w:val="24"/>
          <w:highlight w:val="none"/>
        </w:rPr>
      </w:pPr>
    </w:p>
    <w:p w14:paraId="52A3AB4F">
      <w:pPr>
        <w:spacing w:line="500" w:lineRule="exact"/>
        <w:ind w:firstLine="600" w:firstLineChars="250"/>
        <w:rPr>
          <w:rFonts w:hint="eastAsia" w:ascii="宋体" w:hAnsi="宋体" w:cs="宋体"/>
          <w:color w:val="auto"/>
          <w:sz w:val="24"/>
          <w:szCs w:val="28"/>
          <w:highlight w:val="none"/>
          <w:lang w:eastAsia="zh-CN"/>
        </w:rPr>
        <w:sectPr>
          <w:pgSz w:w="11907" w:h="16840"/>
          <w:pgMar w:top="1134" w:right="1191" w:bottom="1134" w:left="1304" w:header="851" w:footer="992" w:gutter="0"/>
          <w:pgNumType w:fmt="decimal"/>
          <w:cols w:space="720" w:num="1"/>
          <w:docGrid w:linePitch="380" w:charSpace="-5735"/>
        </w:sectPr>
      </w:pPr>
    </w:p>
    <w:p w14:paraId="7EA03C8E">
      <w:pPr>
        <w:spacing w:line="500" w:lineRule="exact"/>
        <w:ind w:firstLine="480" w:firstLineChars="200"/>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eastAsia="zh-CN"/>
        </w:rPr>
        <w:t>供应商：_____________</w:t>
      </w:r>
      <w:r>
        <w:rPr>
          <w:rFonts w:hint="eastAsia" w:ascii="宋体" w:hAnsi="宋体" w:eastAsia="宋体" w:cs="宋体"/>
          <w:color w:val="auto"/>
          <w:sz w:val="24"/>
          <w:szCs w:val="28"/>
          <w:highlight w:val="none"/>
        </w:rPr>
        <w:t xml:space="preserve">（供应商公章）  </w:t>
      </w:r>
    </w:p>
    <w:p w14:paraId="3A4A1F43">
      <w:pPr>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w:t>
      </w:r>
    </w:p>
    <w:p w14:paraId="7D252B03">
      <w:pPr>
        <w:spacing w:line="500" w:lineRule="exact"/>
        <w:ind w:firstLine="600" w:firstLineChars="250"/>
        <w:rPr>
          <w:rFonts w:hint="eastAsia" w:ascii="宋体" w:hAnsi="宋体" w:cs="宋体"/>
          <w:color w:val="auto"/>
          <w:sz w:val="24"/>
          <w:szCs w:val="24"/>
          <w:highlight w:val="none"/>
          <w:lang w:eastAsia="zh-CN"/>
        </w:rPr>
      </w:pPr>
    </w:p>
    <w:p w14:paraId="3AECC7CC">
      <w:pPr>
        <w:spacing w:line="5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p>
    <w:p w14:paraId="170E1CFF">
      <w:pPr>
        <w:spacing w:line="500" w:lineRule="exact"/>
        <w:ind w:firstLine="480" w:firstLineChars="200"/>
        <w:jc w:val="left"/>
        <w:rPr>
          <w:rFonts w:hint="eastAsia" w:ascii="宋体" w:hAnsi="宋体" w:eastAsia="宋体" w:cs="宋体"/>
          <w:color w:val="auto"/>
          <w:sz w:val="24"/>
          <w:szCs w:val="28"/>
          <w:highlight w:val="none"/>
        </w:rPr>
      </w:pPr>
      <w:r>
        <w:rPr>
          <w:rFonts w:hint="eastAsia" w:ascii="宋体" w:hAnsi="宋体" w:cs="宋体"/>
          <w:color w:val="auto"/>
          <w:sz w:val="24"/>
          <w:szCs w:val="24"/>
          <w:highlight w:val="none"/>
          <w:lang w:eastAsia="zh-CN"/>
        </w:rPr>
        <w:t>或其授权代表：</w:t>
      </w:r>
      <w:r>
        <w:rPr>
          <w:rFonts w:hint="eastAsia" w:ascii="宋体" w:hAnsi="宋体" w:eastAsia="宋体" w:cs="宋体"/>
          <w:color w:val="auto"/>
          <w:sz w:val="24"/>
          <w:szCs w:val="28"/>
          <w:highlight w:val="none"/>
        </w:rPr>
        <w:t>（签</w:t>
      </w:r>
      <w:r>
        <w:rPr>
          <w:rFonts w:hint="eastAsia" w:ascii="宋体" w:hAnsi="宋体" w:cs="宋体"/>
          <w:color w:val="auto"/>
          <w:sz w:val="24"/>
          <w:szCs w:val="28"/>
          <w:highlight w:val="none"/>
          <w:lang w:val="en-US" w:eastAsia="zh-CN"/>
        </w:rPr>
        <w:t>字</w:t>
      </w:r>
      <w:r>
        <w:rPr>
          <w:rFonts w:hint="eastAsia" w:ascii="宋体" w:hAnsi="宋体" w:eastAsia="宋体" w:cs="宋体"/>
          <w:color w:val="auto"/>
          <w:sz w:val="24"/>
          <w:szCs w:val="28"/>
          <w:highlight w:val="none"/>
        </w:rPr>
        <w:t>或盖章）</w:t>
      </w:r>
    </w:p>
    <w:p w14:paraId="3C92BDFC">
      <w:pPr>
        <w:tabs>
          <w:tab w:val="left" w:pos="6300"/>
        </w:tabs>
        <w:snapToGrid w:val="0"/>
        <w:spacing w:line="500" w:lineRule="exact"/>
        <w:ind w:firstLine="570"/>
        <w:rPr>
          <w:rFonts w:hint="eastAsia" w:ascii="宋体" w:hAnsi="宋体" w:eastAsia="宋体" w:cs="宋体"/>
          <w:color w:val="auto"/>
          <w:sz w:val="24"/>
          <w:szCs w:val="28"/>
          <w:highlight w:val="none"/>
        </w:rPr>
        <w:sectPr>
          <w:type w:val="continuous"/>
          <w:pgSz w:w="11907" w:h="16840"/>
          <w:pgMar w:top="1134" w:right="1191" w:bottom="1134" w:left="1304" w:header="851" w:footer="992" w:gutter="0"/>
          <w:pgNumType w:fmt="decimal"/>
          <w:cols w:equalWidth="0" w:num="2">
            <w:col w:w="4493" w:space="425"/>
            <w:col w:w="4493"/>
          </w:cols>
          <w:docGrid w:linePitch="380" w:charSpace="-5735"/>
        </w:sectPr>
      </w:pPr>
    </w:p>
    <w:p w14:paraId="0D79C977">
      <w:pPr>
        <w:tabs>
          <w:tab w:val="left" w:pos="6300"/>
        </w:tabs>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w:t>
      </w:r>
    </w:p>
    <w:p w14:paraId="3A412F42">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 xml:space="preserve"> 年     月     日</w:t>
      </w:r>
    </w:p>
    <w:p w14:paraId="689793ED">
      <w:pPr>
        <w:tabs>
          <w:tab w:val="left" w:pos="6300"/>
        </w:tabs>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13638AB">
      <w:pPr>
        <w:tabs>
          <w:tab w:val="left" w:pos="6300"/>
        </w:tabs>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本表即为对本项目“第三篇  项目商务需求”中所列条款进行比较和响应；</w:t>
      </w:r>
    </w:p>
    <w:p w14:paraId="74253371">
      <w:pPr>
        <w:snapToGrid w:val="0"/>
        <w:spacing w:line="400" w:lineRule="exact"/>
        <w:ind w:firstLine="480" w:firstLineChars="200"/>
        <w:rPr>
          <w:rFonts w:hint="eastAsia" w:ascii="宋体" w:hAnsi="宋体" w:eastAsia="宋体" w:cs="宋体"/>
          <w:b/>
          <w:color w:val="auto"/>
          <w:highlight w:val="none"/>
        </w:rPr>
        <w:sectPr>
          <w:type w:val="continuous"/>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auto"/>
          <w:sz w:val="24"/>
          <w:highlight w:val="none"/>
        </w:rPr>
        <w:t>2.本表可扩展。</w:t>
      </w:r>
    </w:p>
    <w:p w14:paraId="565F2A78">
      <w:pPr>
        <w:snapToGrid w:val="0"/>
        <w:spacing w:line="400" w:lineRule="exact"/>
        <w:ind w:firstLine="480" w:firstLineChars="200"/>
        <w:outlineLvl w:val="1"/>
        <w:rPr>
          <w:rFonts w:hint="eastAsia" w:ascii="宋体" w:hAnsi="宋体" w:eastAsia="宋体" w:cs="宋体"/>
          <w:color w:val="auto"/>
          <w:sz w:val="24"/>
          <w:szCs w:val="24"/>
          <w:highlight w:val="none"/>
        </w:rPr>
      </w:pPr>
      <w:bookmarkStart w:id="403" w:name="_Toc27623"/>
      <w:bookmarkStart w:id="404" w:name="_Toc28623"/>
      <w:bookmarkStart w:id="405" w:name="_Toc283382459"/>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其他</w:t>
      </w:r>
      <w:r>
        <w:rPr>
          <w:rFonts w:hint="eastAsia" w:ascii="宋体" w:hAnsi="宋体" w:cs="宋体"/>
          <w:color w:val="auto"/>
          <w:sz w:val="24"/>
          <w:szCs w:val="24"/>
          <w:highlight w:val="none"/>
          <w:lang w:val="en-US" w:eastAsia="zh-CN"/>
        </w:rPr>
        <w:t>资料</w:t>
      </w:r>
      <w:r>
        <w:rPr>
          <w:rFonts w:hint="eastAsia" w:ascii="宋体" w:hAnsi="宋体" w:eastAsia="宋体" w:cs="宋体"/>
          <w:color w:val="auto"/>
          <w:sz w:val="24"/>
          <w:szCs w:val="24"/>
          <w:highlight w:val="none"/>
        </w:rPr>
        <w:t>（格式自定）</w:t>
      </w:r>
      <w:bookmarkEnd w:id="403"/>
      <w:bookmarkEnd w:id="404"/>
    </w:p>
    <w:p w14:paraId="5997C3DC">
      <w:pPr>
        <w:snapToGrid w:val="0"/>
        <w:spacing w:line="400" w:lineRule="exact"/>
        <w:ind w:firstLine="480" w:firstLineChars="200"/>
        <w:rPr>
          <w:rFonts w:hint="eastAsia" w:ascii="宋体" w:hAnsi="宋体" w:eastAsia="宋体" w:cs="宋体"/>
          <w:color w:val="auto"/>
          <w:sz w:val="24"/>
          <w:szCs w:val="24"/>
          <w:highlight w:val="none"/>
        </w:rPr>
      </w:pPr>
    </w:p>
    <w:p w14:paraId="5E2E539D">
      <w:pPr>
        <w:pStyle w:val="3"/>
        <w:adjustRightInd w:val="0"/>
        <w:snapToGrid w:val="0"/>
        <w:spacing w:before="0" w:after="0" w:line="400" w:lineRule="exact"/>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br w:type="page"/>
      </w:r>
      <w:bookmarkEnd w:id="405"/>
      <w:bookmarkStart w:id="406" w:name="_Toc22449"/>
      <w:bookmarkStart w:id="407" w:name="_Toc76462353"/>
      <w:bookmarkStart w:id="408" w:name="_Toc23011"/>
      <w:bookmarkStart w:id="409" w:name="_Toc342913422"/>
      <w:bookmarkStart w:id="410" w:name="_Toc313888363"/>
      <w:bookmarkStart w:id="411" w:name="_Toc18834"/>
      <w:bookmarkStart w:id="412" w:name="_Toc106030909"/>
      <w:bookmarkStart w:id="413" w:name="_Toc313008359"/>
      <w:r>
        <w:rPr>
          <w:rFonts w:hint="eastAsia" w:ascii="宋体" w:hAnsi="宋体" w:eastAsia="宋体" w:cs="宋体"/>
          <w:b/>
          <w:bCs/>
          <w:color w:val="auto"/>
          <w:sz w:val="24"/>
          <w:highlight w:val="none"/>
        </w:rPr>
        <w:t>四、资格条件</w:t>
      </w:r>
      <w:bookmarkEnd w:id="406"/>
      <w:bookmarkEnd w:id="407"/>
      <w:bookmarkEnd w:id="408"/>
      <w:bookmarkEnd w:id="409"/>
      <w:bookmarkEnd w:id="410"/>
      <w:bookmarkEnd w:id="411"/>
      <w:bookmarkEnd w:id="412"/>
      <w:bookmarkEnd w:id="413"/>
    </w:p>
    <w:p w14:paraId="6D3EB11E">
      <w:pPr>
        <w:tabs>
          <w:tab w:val="left" w:pos="6300"/>
        </w:tabs>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（一）法人营业执照（副本）或事业单位法人证书（副本）或个体工商户营业执照或有效的自然人身份证明或社会团体法人登记证书复印件</w:t>
      </w:r>
    </w:p>
    <w:p w14:paraId="4A9D4319">
      <w:pPr>
        <w:tabs>
          <w:tab w:val="left" w:pos="6300"/>
        </w:tabs>
        <w:snapToGrid w:val="0"/>
        <w:spacing w:line="400" w:lineRule="exact"/>
        <w:ind w:firstLine="570"/>
        <w:rPr>
          <w:rFonts w:hint="eastAsia" w:ascii="宋体" w:hAnsi="宋体" w:eastAsia="宋体" w:cs="宋体"/>
          <w:color w:val="auto"/>
          <w:highlight w:val="none"/>
        </w:rPr>
      </w:pPr>
    </w:p>
    <w:p w14:paraId="56B88A5E">
      <w:pPr>
        <w:tabs>
          <w:tab w:val="left" w:pos="6300"/>
        </w:tabs>
        <w:snapToGrid w:val="0"/>
        <w:spacing w:line="500" w:lineRule="exact"/>
        <w:ind w:firstLine="570"/>
        <w:rPr>
          <w:rFonts w:hint="eastAsia" w:ascii="宋体" w:hAnsi="宋体" w:eastAsia="宋体" w:cs="宋体"/>
          <w:color w:val="auto"/>
          <w:highlight w:val="none"/>
        </w:rPr>
      </w:pPr>
    </w:p>
    <w:p w14:paraId="405AD1BA">
      <w:pPr>
        <w:tabs>
          <w:tab w:val="left" w:pos="6300"/>
        </w:tabs>
        <w:snapToGrid w:val="0"/>
        <w:spacing w:line="500" w:lineRule="exact"/>
        <w:ind w:firstLine="570"/>
        <w:rPr>
          <w:rFonts w:hint="eastAsia" w:ascii="宋体" w:hAnsi="宋体" w:eastAsia="宋体" w:cs="宋体"/>
          <w:color w:val="auto"/>
          <w:highlight w:val="none"/>
        </w:rPr>
      </w:pPr>
    </w:p>
    <w:p w14:paraId="486F6F40">
      <w:pPr>
        <w:tabs>
          <w:tab w:val="left" w:pos="6300"/>
        </w:tabs>
        <w:snapToGrid w:val="0"/>
        <w:spacing w:line="500" w:lineRule="exact"/>
        <w:ind w:firstLine="570"/>
        <w:rPr>
          <w:rFonts w:hint="eastAsia" w:ascii="宋体" w:hAnsi="宋体" w:eastAsia="宋体" w:cs="宋体"/>
          <w:color w:val="auto"/>
          <w:highlight w:val="none"/>
        </w:rPr>
      </w:pPr>
    </w:p>
    <w:p w14:paraId="7117F7ED">
      <w:pPr>
        <w:tabs>
          <w:tab w:val="left" w:pos="6300"/>
        </w:tabs>
        <w:snapToGrid w:val="0"/>
        <w:spacing w:line="500" w:lineRule="exact"/>
        <w:ind w:firstLine="570"/>
        <w:rPr>
          <w:rFonts w:hint="eastAsia" w:ascii="宋体" w:hAnsi="宋体" w:eastAsia="宋体" w:cs="宋体"/>
          <w:color w:val="auto"/>
          <w:highlight w:val="none"/>
        </w:rPr>
      </w:pPr>
    </w:p>
    <w:p w14:paraId="33F3D520">
      <w:pPr>
        <w:snapToGrid w:val="0"/>
        <w:spacing w:line="400" w:lineRule="exact"/>
        <w:ind w:firstLine="56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r>
        <w:rPr>
          <w:rFonts w:hint="eastAsia" w:ascii="宋体" w:hAnsi="宋体" w:eastAsia="宋体" w:cs="宋体"/>
          <w:color w:val="auto"/>
          <w:sz w:val="24"/>
          <w:szCs w:val="24"/>
          <w:highlight w:val="none"/>
        </w:rPr>
        <w:t>（二）法定代表人身份证明书（格式）</w:t>
      </w:r>
    </w:p>
    <w:p w14:paraId="300B27B2">
      <w:pPr>
        <w:tabs>
          <w:tab w:val="left" w:pos="6300"/>
        </w:tabs>
        <w:snapToGrid w:val="0"/>
        <w:spacing w:line="500" w:lineRule="exact"/>
        <w:ind w:firstLine="570"/>
        <w:rPr>
          <w:rFonts w:hint="eastAsia" w:ascii="宋体" w:hAnsi="宋体" w:eastAsia="宋体" w:cs="宋体"/>
          <w:color w:val="auto"/>
          <w:sz w:val="24"/>
          <w:highlight w:val="none"/>
        </w:rPr>
      </w:pPr>
    </w:p>
    <w:p w14:paraId="5FE5ED7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磋商</w:t>
      </w: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06F1A08F">
      <w:pPr>
        <w:tabs>
          <w:tab w:val="left" w:pos="6300"/>
        </w:tabs>
        <w:snapToGrid w:val="0"/>
        <w:spacing w:line="500" w:lineRule="exact"/>
        <w:ind w:firstLine="570"/>
        <w:rPr>
          <w:rFonts w:hint="eastAsia" w:ascii="宋体" w:hAnsi="宋体" w:eastAsia="宋体" w:cs="宋体"/>
          <w:color w:val="auto"/>
          <w:sz w:val="24"/>
          <w:highlight w:val="none"/>
        </w:rPr>
      </w:pPr>
    </w:p>
    <w:p w14:paraId="2F75558C">
      <w:pPr>
        <w:tabs>
          <w:tab w:val="left" w:pos="6300"/>
        </w:tabs>
        <w:snapToGrid w:val="0"/>
        <w:spacing w:line="500" w:lineRule="exact"/>
        <w:ind w:firstLine="480" w:firstLineChars="200"/>
        <w:rPr>
          <w:rFonts w:hint="default"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致</w:t>
      </w:r>
      <w:r>
        <w:rPr>
          <w:rFonts w:hint="eastAsia" w:ascii="宋体" w:hAnsi="宋体" w:eastAsia="宋体" w:cs="宋体"/>
          <w:color w:val="auto"/>
          <w:sz w:val="24"/>
          <w:highlight w:val="none"/>
          <w:u w:val="none"/>
          <w:lang w:val="en-US" w:eastAsia="zh-CN"/>
        </w:rPr>
        <w:t>巫山县中医院：</w:t>
      </w:r>
    </w:p>
    <w:p w14:paraId="3D1617BD">
      <w:pPr>
        <w:tabs>
          <w:tab w:val="left" w:pos="6300"/>
        </w:tabs>
        <w:snapToGrid w:val="0"/>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7D4DCE0E">
      <w:pPr>
        <w:tabs>
          <w:tab w:val="left" w:pos="6300"/>
        </w:tabs>
        <w:snapToGrid w:val="0"/>
        <w:spacing w:line="500" w:lineRule="exact"/>
        <w:ind w:firstLine="570"/>
        <w:rPr>
          <w:rFonts w:hint="eastAsia" w:ascii="宋体" w:hAnsi="宋体" w:eastAsia="宋体" w:cs="宋体"/>
          <w:color w:val="auto"/>
          <w:sz w:val="24"/>
          <w:highlight w:val="none"/>
        </w:rPr>
      </w:pPr>
    </w:p>
    <w:p w14:paraId="7032A42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6E7EC66">
      <w:pPr>
        <w:tabs>
          <w:tab w:val="left" w:pos="6300"/>
        </w:tabs>
        <w:snapToGrid w:val="0"/>
        <w:spacing w:line="500" w:lineRule="exact"/>
        <w:ind w:firstLine="570"/>
        <w:rPr>
          <w:rFonts w:hint="eastAsia" w:ascii="宋体" w:hAnsi="宋体" w:eastAsia="宋体" w:cs="宋体"/>
          <w:color w:val="auto"/>
          <w:sz w:val="24"/>
          <w:highlight w:val="none"/>
        </w:rPr>
      </w:pPr>
    </w:p>
    <w:p w14:paraId="4760F97B">
      <w:pPr>
        <w:tabs>
          <w:tab w:val="left" w:pos="6300"/>
        </w:tabs>
        <w:snapToGrid w:val="0"/>
        <w:spacing w:line="500" w:lineRule="exact"/>
        <w:ind w:firstLine="570"/>
        <w:rPr>
          <w:rFonts w:hint="eastAsia" w:ascii="宋体" w:hAnsi="宋体" w:eastAsia="宋体" w:cs="宋体"/>
          <w:color w:val="auto"/>
          <w:sz w:val="24"/>
          <w:highlight w:val="none"/>
        </w:rPr>
      </w:pPr>
    </w:p>
    <w:p w14:paraId="23A82031">
      <w:pPr>
        <w:tabs>
          <w:tab w:val="left" w:pos="6300"/>
        </w:tabs>
        <w:snapToGrid w:val="0"/>
        <w:spacing w:line="500" w:lineRule="exact"/>
        <w:ind w:firstLine="570"/>
        <w:rPr>
          <w:rFonts w:hint="eastAsia" w:ascii="宋体" w:hAnsi="宋体" w:eastAsia="宋体" w:cs="宋体"/>
          <w:color w:val="auto"/>
          <w:sz w:val="24"/>
          <w:highlight w:val="none"/>
        </w:rPr>
      </w:pPr>
    </w:p>
    <w:p w14:paraId="10AE981F">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（供应商公章）</w:t>
      </w:r>
    </w:p>
    <w:p w14:paraId="1230BDE7">
      <w:pPr>
        <w:tabs>
          <w:tab w:val="left" w:pos="6300"/>
        </w:tabs>
        <w:snapToGrid w:val="0"/>
        <w:spacing w:line="500" w:lineRule="exact"/>
        <w:ind w:firstLine="570"/>
        <w:rPr>
          <w:rFonts w:hint="eastAsia" w:ascii="宋体" w:hAnsi="宋体" w:eastAsia="宋体" w:cs="宋体"/>
          <w:color w:val="auto"/>
          <w:sz w:val="24"/>
          <w:highlight w:val="none"/>
        </w:rPr>
      </w:pPr>
    </w:p>
    <w:p w14:paraId="6A9E8B83">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E40DD3A">
      <w:pPr>
        <w:tabs>
          <w:tab w:val="left" w:pos="6300"/>
        </w:tabs>
        <w:snapToGrid w:val="0"/>
        <w:spacing w:line="500" w:lineRule="exact"/>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法定代表人电话：XXXXXXX      电子邮箱：XXXXXX@XXXXX（若授权他人办理并签署响应文件的可不填写）</w:t>
      </w:r>
    </w:p>
    <w:p w14:paraId="71DEF98A">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2B5E789E">
      <w:pPr>
        <w:tabs>
          <w:tab w:val="left" w:pos="6300"/>
        </w:tabs>
        <w:snapToGrid w:val="0"/>
        <w:spacing w:line="500" w:lineRule="exact"/>
        <w:ind w:firstLine="570"/>
        <w:rPr>
          <w:rFonts w:hint="eastAsia" w:ascii="宋体" w:hAnsi="宋体" w:eastAsia="宋体" w:cs="宋体"/>
          <w:color w:val="auto"/>
          <w:sz w:val="24"/>
          <w:highlight w:val="none"/>
        </w:rPr>
      </w:pPr>
    </w:p>
    <w:p w14:paraId="0F5DBCC3">
      <w:pPr>
        <w:tabs>
          <w:tab w:val="left" w:pos="6300"/>
        </w:tabs>
        <w:snapToGrid w:val="0"/>
        <w:spacing w:line="500" w:lineRule="exact"/>
        <w:ind w:firstLine="570"/>
        <w:rPr>
          <w:rFonts w:hint="eastAsia" w:ascii="宋体" w:hAnsi="宋体" w:eastAsia="宋体" w:cs="宋体"/>
          <w:color w:val="auto"/>
          <w:sz w:val="24"/>
          <w:highlight w:val="none"/>
        </w:rPr>
      </w:pPr>
    </w:p>
    <w:p w14:paraId="6DABC09C">
      <w:pPr>
        <w:tabs>
          <w:tab w:val="left" w:pos="6300"/>
        </w:tabs>
        <w:snapToGrid w:val="0"/>
        <w:spacing w:line="500" w:lineRule="exact"/>
        <w:ind w:firstLine="570"/>
        <w:rPr>
          <w:rFonts w:hint="eastAsia" w:ascii="宋体" w:hAnsi="宋体" w:eastAsia="宋体" w:cs="宋体"/>
          <w:color w:val="auto"/>
          <w:sz w:val="24"/>
          <w:highlight w:val="none"/>
        </w:rPr>
      </w:pPr>
    </w:p>
    <w:p w14:paraId="4A2DE85A">
      <w:pPr>
        <w:tabs>
          <w:tab w:val="left" w:pos="6300"/>
        </w:tabs>
        <w:snapToGrid w:val="0"/>
        <w:spacing w:line="500" w:lineRule="exact"/>
        <w:ind w:firstLine="570"/>
        <w:rPr>
          <w:rFonts w:hint="eastAsia" w:ascii="宋体" w:hAnsi="宋体" w:eastAsia="宋体" w:cs="宋体"/>
          <w:color w:val="auto"/>
          <w:sz w:val="24"/>
          <w:highlight w:val="none"/>
        </w:rPr>
      </w:pPr>
    </w:p>
    <w:p w14:paraId="2EAB53EF">
      <w:pPr>
        <w:tabs>
          <w:tab w:val="left" w:pos="6300"/>
        </w:tabs>
        <w:snapToGrid w:val="0"/>
        <w:spacing w:line="500" w:lineRule="exact"/>
        <w:ind w:firstLine="570"/>
        <w:rPr>
          <w:rFonts w:hint="eastAsia" w:ascii="宋体" w:hAnsi="宋体" w:eastAsia="宋体" w:cs="宋体"/>
          <w:color w:val="auto"/>
          <w:sz w:val="24"/>
          <w:highlight w:val="none"/>
        </w:rPr>
      </w:pPr>
    </w:p>
    <w:p w14:paraId="656C2BBF">
      <w:pPr>
        <w:tabs>
          <w:tab w:val="left" w:pos="6300"/>
        </w:tabs>
        <w:snapToGrid w:val="0"/>
        <w:spacing w:line="500" w:lineRule="exact"/>
        <w:ind w:firstLine="570"/>
        <w:rPr>
          <w:rFonts w:hint="eastAsia" w:ascii="宋体" w:hAnsi="宋体" w:eastAsia="宋体" w:cs="宋体"/>
          <w:color w:val="auto"/>
          <w:sz w:val="24"/>
          <w:highlight w:val="none"/>
        </w:rPr>
      </w:pPr>
    </w:p>
    <w:p w14:paraId="3BD73CC9">
      <w:pPr>
        <w:snapToGrid w:val="0"/>
        <w:spacing w:line="400" w:lineRule="exact"/>
        <w:ind w:firstLine="56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rPr>
        <w:t>（三）法定代表人授权委托书（格式）</w:t>
      </w:r>
    </w:p>
    <w:p w14:paraId="1A11FE6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4F87BEC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szCs w:val="28"/>
          <w:highlight w:val="none"/>
          <w:lang w:eastAsia="zh-CN"/>
        </w:rPr>
        <w:t>磋商</w:t>
      </w:r>
      <w:r>
        <w:rPr>
          <w:rFonts w:hint="eastAsia" w:ascii="宋体" w:hAnsi="宋体" w:eastAsia="宋体" w:cs="宋体"/>
          <w:color w:val="auto"/>
          <w:sz w:val="24"/>
          <w:szCs w:val="28"/>
          <w:highlight w:val="none"/>
        </w:rPr>
        <w:t>项目名称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5FE829A6">
      <w:pPr>
        <w:tabs>
          <w:tab w:val="left" w:pos="6300"/>
        </w:tabs>
        <w:snapToGrid w:val="0"/>
        <w:spacing w:line="500" w:lineRule="exact"/>
        <w:ind w:firstLine="570"/>
        <w:rPr>
          <w:rFonts w:hint="eastAsia" w:ascii="宋体" w:hAnsi="宋体" w:eastAsia="宋体" w:cs="宋体"/>
          <w:color w:val="auto"/>
          <w:sz w:val="24"/>
          <w:highlight w:val="none"/>
        </w:rPr>
      </w:pPr>
    </w:p>
    <w:p w14:paraId="0EE2318A">
      <w:pPr>
        <w:tabs>
          <w:tab w:val="left" w:pos="6300"/>
        </w:tabs>
        <w:snapToGrid w:val="0"/>
        <w:spacing w:line="500" w:lineRule="exact"/>
        <w:ind w:firstLine="480" w:firstLineChars="200"/>
        <w:rPr>
          <w:rFonts w:hint="default"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rPr>
        <w:t>致</w:t>
      </w:r>
      <w:r>
        <w:rPr>
          <w:rFonts w:hint="eastAsia" w:ascii="宋体" w:hAnsi="宋体" w:eastAsia="宋体" w:cs="宋体"/>
          <w:color w:val="auto"/>
          <w:sz w:val="24"/>
          <w:highlight w:val="none"/>
          <w:u w:val="none"/>
          <w:lang w:val="en-US" w:eastAsia="zh-CN"/>
        </w:rPr>
        <w:t>巫山县中医院：</w:t>
      </w:r>
    </w:p>
    <w:p w14:paraId="1DF8A49A">
      <w:pPr>
        <w:tabs>
          <w:tab w:val="left" w:pos="6300"/>
        </w:tabs>
        <w:snapToGrid w:val="0"/>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（供应商法定代表人</w:t>
      </w:r>
      <w:r>
        <w:rPr>
          <w:rFonts w:hint="eastAsia" w:ascii="宋体" w:hAnsi="宋体" w:cs="宋体"/>
          <w:color w:val="auto"/>
          <w:sz w:val="24"/>
          <w:highlight w:val="none"/>
          <w:lang w:eastAsia="zh-CN"/>
        </w:rPr>
        <w:t>姓名</w:t>
      </w:r>
      <w:r>
        <w:rPr>
          <w:rFonts w:hint="eastAsia" w:ascii="宋体" w:hAnsi="宋体" w:eastAsia="宋体" w:cs="宋体"/>
          <w:color w:val="auto"/>
          <w:sz w:val="24"/>
          <w:highlight w:val="none"/>
        </w:rPr>
        <w:t>）是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w:t>
      </w:r>
      <w:r>
        <w:rPr>
          <w:rFonts w:hint="eastAsia" w:ascii="宋体" w:hAnsi="宋体" w:cs="宋体"/>
          <w:color w:val="auto"/>
          <w:sz w:val="24"/>
          <w:highlight w:val="none"/>
          <w:lang w:eastAsia="zh-CN"/>
        </w:rPr>
        <w:t>磋商</w:t>
      </w:r>
      <w:r>
        <w:rPr>
          <w:rFonts w:hint="eastAsia" w:ascii="宋体" w:hAnsi="宋体" w:eastAsia="宋体" w:cs="宋体"/>
          <w:color w:val="auto"/>
          <w:sz w:val="24"/>
          <w:highlight w:val="none"/>
        </w:rPr>
        <w:t>、签约等具体工作，并签署全部有关文件、协议及合同。</w:t>
      </w:r>
    </w:p>
    <w:p w14:paraId="4D5109DA">
      <w:pPr>
        <w:tabs>
          <w:tab w:val="left" w:pos="6300"/>
        </w:tabs>
        <w:snapToGrid w:val="0"/>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我单位对被授权人在授权范围内签署的所有文件承担全部法律责任。</w:t>
      </w:r>
    </w:p>
    <w:p w14:paraId="38015A32">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eastAsia="zh-CN"/>
        </w:rPr>
        <w:t>在我单位发出撤销授权的正式书面通知之前，本授权书持续有效。</w:t>
      </w:r>
      <w:r>
        <w:rPr>
          <w:rFonts w:hint="eastAsia" w:ascii="宋体" w:hAnsi="宋体" w:eastAsia="宋体" w:cs="宋体"/>
          <w:color w:val="auto"/>
          <w:sz w:val="24"/>
          <w:highlight w:val="none"/>
        </w:rPr>
        <w:t>被授权人在授权书有效期内签署的所有文件不因授权的撤销而失效。</w:t>
      </w:r>
    </w:p>
    <w:p w14:paraId="6EBA8841">
      <w:pPr>
        <w:tabs>
          <w:tab w:val="left" w:pos="6300"/>
        </w:tabs>
        <w:snapToGrid w:val="0"/>
        <w:spacing w:line="500" w:lineRule="exact"/>
        <w:ind w:firstLine="570"/>
        <w:rPr>
          <w:rFonts w:hint="eastAsia" w:ascii="宋体" w:hAnsi="宋体" w:eastAsia="宋体" w:cs="宋体"/>
          <w:color w:val="auto"/>
          <w:sz w:val="24"/>
          <w:highlight w:val="none"/>
        </w:rPr>
      </w:pPr>
    </w:p>
    <w:p w14:paraId="32940677">
      <w:pPr>
        <w:tabs>
          <w:tab w:val="left" w:pos="6300"/>
        </w:tabs>
        <w:snapToGrid w:val="0"/>
        <w:spacing w:line="500" w:lineRule="exact"/>
        <w:ind w:firstLine="570"/>
        <w:rPr>
          <w:rFonts w:hint="eastAsia" w:ascii="宋体" w:hAnsi="宋体" w:eastAsia="宋体" w:cs="宋体"/>
          <w:color w:val="auto"/>
          <w:sz w:val="24"/>
          <w:highlight w:val="none"/>
        </w:rPr>
      </w:pPr>
    </w:p>
    <w:p w14:paraId="056FB2D9">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供应商法定代表人：</w:t>
      </w:r>
    </w:p>
    <w:p w14:paraId="17C9B08E">
      <w:pPr>
        <w:tabs>
          <w:tab w:val="left" w:pos="6300"/>
        </w:tabs>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（签署或盖章）                                （签署或盖章）</w:t>
      </w:r>
    </w:p>
    <w:p w14:paraId="36F73081">
      <w:pPr>
        <w:tabs>
          <w:tab w:val="left" w:pos="6300"/>
        </w:tabs>
        <w:snapToGrid w:val="0"/>
        <w:spacing w:line="500" w:lineRule="exact"/>
        <w:ind w:firstLine="570"/>
        <w:rPr>
          <w:rFonts w:hint="eastAsia" w:ascii="宋体" w:hAnsi="宋体" w:eastAsia="宋体" w:cs="宋体"/>
          <w:color w:val="auto"/>
          <w:sz w:val="24"/>
          <w:szCs w:val="28"/>
          <w:highlight w:val="none"/>
        </w:rPr>
      </w:pPr>
    </w:p>
    <w:p w14:paraId="0558414B">
      <w:pPr>
        <w:tabs>
          <w:tab w:val="left" w:pos="6300"/>
        </w:tabs>
        <w:snapToGrid w:val="0"/>
        <w:spacing w:line="500" w:lineRule="exact"/>
        <w:ind w:firstLine="570"/>
        <w:rPr>
          <w:rFonts w:hint="eastAsia" w:ascii="宋体" w:hAnsi="宋体" w:eastAsia="宋体" w:cs="宋体"/>
          <w:color w:val="auto"/>
          <w:sz w:val="24"/>
          <w:highlight w:val="none"/>
        </w:rPr>
      </w:pPr>
    </w:p>
    <w:p w14:paraId="506F6D2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10F7C09C">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954B7FA">
      <w:pPr>
        <w:tabs>
          <w:tab w:val="left" w:pos="6300"/>
        </w:tabs>
        <w:snapToGrid w:val="0"/>
        <w:spacing w:line="500" w:lineRule="exact"/>
        <w:ind w:firstLine="570"/>
        <w:rPr>
          <w:rFonts w:hint="eastAsia" w:ascii="宋体" w:hAnsi="宋体" w:eastAsia="宋体" w:cs="宋体"/>
          <w:color w:val="auto"/>
          <w:sz w:val="24"/>
          <w:highlight w:val="none"/>
        </w:rPr>
      </w:pPr>
    </w:p>
    <w:p w14:paraId="12831080">
      <w:pPr>
        <w:tabs>
          <w:tab w:val="left" w:pos="6300"/>
        </w:tabs>
        <w:snapToGrid w:val="0"/>
        <w:spacing w:line="500" w:lineRule="exact"/>
        <w:ind w:firstLine="570"/>
        <w:rPr>
          <w:rFonts w:hint="eastAsia" w:ascii="宋体" w:hAnsi="宋体" w:eastAsia="宋体" w:cs="宋体"/>
          <w:color w:val="auto"/>
          <w:sz w:val="24"/>
          <w:highlight w:val="none"/>
        </w:rPr>
      </w:pPr>
    </w:p>
    <w:p w14:paraId="3DE3C3E5">
      <w:pPr>
        <w:tabs>
          <w:tab w:val="left" w:pos="6300"/>
        </w:tabs>
        <w:snapToGrid w:val="0"/>
        <w:spacing w:line="500" w:lineRule="exact"/>
        <w:ind w:right="4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13960A01">
      <w:pPr>
        <w:tabs>
          <w:tab w:val="left" w:pos="6300"/>
        </w:tabs>
        <w:snapToGrid w:val="0"/>
        <w:spacing w:line="500" w:lineRule="exact"/>
        <w:ind w:right="4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2D0C3BCB">
      <w:pPr>
        <w:tabs>
          <w:tab w:val="left" w:pos="6300"/>
        </w:tabs>
        <w:snapToGrid w:val="0"/>
        <w:spacing w:line="500" w:lineRule="exact"/>
        <w:ind w:right="48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电子邮箱：XXXXXX@XXXXX（若法定代表人办理并签署响应文件的可不填写）</w:t>
      </w:r>
    </w:p>
    <w:p w14:paraId="6C268136">
      <w:pPr>
        <w:tabs>
          <w:tab w:val="left" w:pos="6300"/>
        </w:tabs>
        <w:snapToGrid w:val="0"/>
        <w:spacing w:line="500" w:lineRule="exact"/>
        <w:ind w:right="48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33EE09A5">
      <w:pPr>
        <w:tabs>
          <w:tab w:val="left" w:pos="6300"/>
        </w:tabs>
        <w:snapToGrid w:val="0"/>
        <w:spacing w:line="500" w:lineRule="exact"/>
        <w:ind w:right="480"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1.若为法定代表人办理并签署响应文件的，不提供此文件。</w:t>
      </w:r>
    </w:p>
    <w:p w14:paraId="564BF676">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2.若为联合体参与的，法定代表人授权委托书由联合体主办方</w:t>
      </w:r>
      <w:r>
        <w:rPr>
          <w:rFonts w:hint="eastAsia" w:ascii="宋体" w:hAnsi="宋体" w:eastAsia="宋体" w:cs="宋体"/>
          <w:color w:val="auto"/>
          <w:kern w:val="0"/>
          <w:sz w:val="24"/>
          <w:szCs w:val="24"/>
          <w:highlight w:val="none"/>
        </w:rPr>
        <w:t>（主体）</w:t>
      </w:r>
      <w:r>
        <w:rPr>
          <w:rFonts w:hint="eastAsia" w:ascii="宋体" w:hAnsi="宋体" w:eastAsia="宋体" w:cs="宋体"/>
          <w:color w:val="auto"/>
          <w:sz w:val="24"/>
          <w:highlight w:val="none"/>
        </w:rPr>
        <w:t>出具。</w:t>
      </w:r>
    </w:p>
    <w:p w14:paraId="48722DD1">
      <w:pPr>
        <w:tabs>
          <w:tab w:val="left" w:pos="6300"/>
        </w:tabs>
        <w:snapToGrid w:val="0"/>
        <w:spacing w:line="500" w:lineRule="exact"/>
        <w:ind w:firstLine="56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rPr>
        <w:t>（四）</w:t>
      </w:r>
      <w:r>
        <w:rPr>
          <w:rFonts w:hint="eastAsia" w:ascii="宋体" w:hAnsi="宋体" w:eastAsia="宋体" w:cs="宋体"/>
          <w:color w:val="auto"/>
          <w:sz w:val="24"/>
          <w:szCs w:val="28"/>
          <w:highlight w:val="none"/>
        </w:rPr>
        <w:t>基本资格条件承诺函</w:t>
      </w:r>
    </w:p>
    <w:p w14:paraId="57CDD16C">
      <w:pPr>
        <w:tabs>
          <w:tab w:val="left" w:pos="6300"/>
        </w:tabs>
        <w:snapToGrid w:val="0"/>
        <w:spacing w:line="500" w:lineRule="exact"/>
        <w:ind w:firstLine="643" w:firstLineChars="20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基本资格条件承诺函</w:t>
      </w:r>
    </w:p>
    <w:p w14:paraId="5C49526F">
      <w:pPr>
        <w:tabs>
          <w:tab w:val="left" w:pos="6300"/>
        </w:tabs>
        <w:snapToGrid w:val="0"/>
        <w:spacing w:line="530" w:lineRule="exact"/>
        <w:rPr>
          <w:rFonts w:hint="eastAsia" w:ascii="宋体" w:hAnsi="宋体" w:eastAsia="宋体" w:cs="宋体"/>
          <w:color w:val="auto"/>
          <w:sz w:val="24"/>
          <w:highlight w:val="none"/>
        </w:rPr>
      </w:pPr>
    </w:p>
    <w:p w14:paraId="3394E39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none"/>
        </w:rPr>
        <w:t>致</w:t>
      </w:r>
      <w:r>
        <w:rPr>
          <w:rFonts w:hint="eastAsia" w:ascii="宋体" w:hAnsi="宋体" w:eastAsia="宋体" w:cs="宋体"/>
          <w:color w:val="auto"/>
          <w:sz w:val="24"/>
          <w:highlight w:val="none"/>
          <w:u w:val="none"/>
          <w:lang w:val="en-US" w:eastAsia="zh-CN"/>
        </w:rPr>
        <w:t>巫山县中医院</w:t>
      </w:r>
      <w:r>
        <w:rPr>
          <w:rFonts w:hint="eastAsia" w:ascii="宋体" w:hAnsi="宋体" w:eastAsia="宋体" w:cs="宋体"/>
          <w:color w:val="auto"/>
          <w:sz w:val="24"/>
          <w:highlight w:val="none"/>
        </w:rPr>
        <w:t>：</w:t>
      </w:r>
    </w:p>
    <w:p w14:paraId="103D2C5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（供应商名称）郑重承诺：</w:t>
      </w:r>
    </w:p>
    <w:p w14:paraId="34CA2C3D">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69EC896E">
      <w:pPr>
        <w:tabs>
          <w:tab w:val="left" w:pos="6300"/>
        </w:tabs>
        <w:snapToGrid w:val="0"/>
        <w:spacing w:line="500" w:lineRule="exact"/>
        <w:ind w:firstLine="480" w:firstLineChars="200"/>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w:t>
      </w:r>
      <w:r>
        <w:rPr>
          <w:rFonts w:hint="eastAsia" w:ascii="宋体" w:hAnsi="宋体" w:cs="宋体"/>
          <w:color w:val="auto"/>
          <w:sz w:val="24"/>
          <w:highlight w:val="none"/>
          <w:lang w:eastAsia="zh-CN"/>
        </w:rPr>
        <w:t>我方未被列入由最高人民法院推送更新信息的信用中国网站（www.creditchina.gov.cn）“失信被执行人”“重大税收违法案件当事人名单”，也未列入中国政府采购网（www.ccgp.gov.cn）“政府采购严重违法失信行为记录名单”中。</w:t>
      </w:r>
    </w:p>
    <w:p w14:paraId="1F1C28F0">
      <w:pPr>
        <w:tabs>
          <w:tab w:val="left" w:pos="6300"/>
        </w:tabs>
        <w:snapToGrid w:val="0"/>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w:t>
      </w:r>
      <w:r>
        <w:rPr>
          <w:rFonts w:hint="eastAsia" w:ascii="宋体" w:hAnsi="宋体" w:cs="宋体"/>
          <w:color w:val="auto"/>
          <w:sz w:val="24"/>
          <w:highlight w:val="none"/>
          <w:lang w:eastAsia="zh-CN"/>
        </w:rPr>
        <w:t>我方在采购项目评审（评标）环节结束后，随时接受采购人的核查验证，配合提供相关证明材料，以证实我方符合《中华人民共和国政府采购法》规定的供应商基本资格条件。</w:t>
      </w:r>
    </w:p>
    <w:p w14:paraId="19B399B3">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4921BD9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26D4EFE0">
      <w:pPr>
        <w:tabs>
          <w:tab w:val="left" w:pos="6300"/>
        </w:tabs>
        <w:snapToGrid w:val="0"/>
        <w:spacing w:line="500" w:lineRule="exact"/>
        <w:ind w:firstLine="480" w:firstLineChars="200"/>
        <w:rPr>
          <w:rFonts w:hint="eastAsia" w:ascii="宋体" w:hAnsi="宋体" w:eastAsia="宋体" w:cs="宋体"/>
          <w:color w:val="auto"/>
          <w:sz w:val="24"/>
          <w:highlight w:val="none"/>
        </w:rPr>
      </w:pPr>
    </w:p>
    <w:p w14:paraId="6FCD34DD">
      <w:pPr>
        <w:tabs>
          <w:tab w:val="left" w:pos="6300"/>
        </w:tabs>
        <w:snapToGrid w:val="0"/>
        <w:spacing w:line="50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106FE042">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年   月   日</w:t>
      </w:r>
    </w:p>
    <w:p w14:paraId="2FAA3071">
      <w:pPr>
        <w:snapToGrid w:val="0"/>
        <w:spacing w:line="400" w:lineRule="exact"/>
        <w:ind w:firstLine="56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r>
        <w:rPr>
          <w:rFonts w:hint="eastAsia" w:ascii="宋体" w:hAnsi="宋体" w:eastAsia="宋体" w:cs="宋体"/>
          <w:color w:val="auto"/>
          <w:sz w:val="24"/>
          <w:szCs w:val="24"/>
          <w:highlight w:val="none"/>
        </w:rPr>
        <w:t>（五）特定资格条件证明文件</w:t>
      </w:r>
    </w:p>
    <w:p w14:paraId="4C5D401C">
      <w:pPr>
        <w:tabs>
          <w:tab w:val="left" w:pos="6300"/>
        </w:tabs>
        <w:snapToGrid w:val="0"/>
        <w:spacing w:line="400" w:lineRule="exact"/>
        <w:ind w:firstLine="480" w:firstLineChars="200"/>
        <w:rPr>
          <w:rFonts w:hint="eastAsia" w:ascii="宋体" w:hAnsi="宋体" w:eastAsia="宋体" w:cs="宋体"/>
          <w:color w:val="auto"/>
          <w:sz w:val="24"/>
          <w:szCs w:val="24"/>
          <w:highlight w:val="none"/>
        </w:rPr>
      </w:pPr>
    </w:p>
    <w:p w14:paraId="418C8667">
      <w:pPr>
        <w:spacing w:line="360" w:lineRule="auto"/>
        <w:ind w:firstLine="480" w:firstLineChars="200"/>
        <w:jc w:val="center"/>
        <w:rPr>
          <w:rFonts w:hint="eastAsia" w:ascii="宋体" w:hAnsi="宋体" w:eastAsia="宋体" w:cs="宋体"/>
          <w:color w:val="auto"/>
          <w:sz w:val="24"/>
          <w:szCs w:val="24"/>
          <w:highlight w:val="none"/>
        </w:rPr>
      </w:pPr>
    </w:p>
    <w:p w14:paraId="190F8FFE">
      <w:pPr>
        <w:spacing w:line="360" w:lineRule="auto"/>
        <w:ind w:firstLine="480" w:firstLineChars="200"/>
        <w:jc w:val="center"/>
        <w:rPr>
          <w:rFonts w:hint="eastAsia" w:ascii="宋体" w:hAnsi="宋体" w:eastAsia="宋体" w:cs="宋体"/>
          <w:color w:val="auto"/>
          <w:sz w:val="24"/>
          <w:szCs w:val="24"/>
          <w:highlight w:val="none"/>
        </w:rPr>
      </w:pPr>
    </w:p>
    <w:p w14:paraId="6BC2047B">
      <w:pPr>
        <w:spacing w:line="360" w:lineRule="auto"/>
        <w:ind w:firstLine="480" w:firstLineChars="200"/>
        <w:jc w:val="center"/>
        <w:rPr>
          <w:rFonts w:hint="eastAsia" w:ascii="宋体" w:hAnsi="宋体" w:eastAsia="宋体" w:cs="宋体"/>
          <w:color w:val="auto"/>
          <w:sz w:val="24"/>
          <w:szCs w:val="24"/>
          <w:highlight w:val="none"/>
        </w:rPr>
      </w:pPr>
    </w:p>
    <w:p w14:paraId="114CFDEF">
      <w:pPr>
        <w:spacing w:line="360" w:lineRule="auto"/>
        <w:ind w:firstLine="480" w:firstLineChars="200"/>
        <w:jc w:val="center"/>
        <w:rPr>
          <w:rFonts w:hint="eastAsia" w:ascii="宋体" w:hAnsi="宋体" w:eastAsia="宋体" w:cs="宋体"/>
          <w:color w:val="auto"/>
          <w:sz w:val="24"/>
          <w:szCs w:val="24"/>
          <w:highlight w:val="none"/>
        </w:rPr>
      </w:pPr>
    </w:p>
    <w:p w14:paraId="294147F6">
      <w:pPr>
        <w:spacing w:line="360" w:lineRule="auto"/>
        <w:ind w:firstLine="480" w:firstLineChars="200"/>
        <w:jc w:val="center"/>
        <w:rPr>
          <w:rFonts w:hint="eastAsia" w:ascii="宋体" w:hAnsi="宋体" w:eastAsia="宋体" w:cs="宋体"/>
          <w:color w:val="auto"/>
          <w:sz w:val="24"/>
          <w:szCs w:val="24"/>
          <w:highlight w:val="none"/>
        </w:rPr>
      </w:pPr>
    </w:p>
    <w:p w14:paraId="42BAF4FE">
      <w:pPr>
        <w:spacing w:line="360" w:lineRule="auto"/>
        <w:ind w:firstLine="560" w:firstLineChars="200"/>
        <w:jc w:val="center"/>
        <w:rPr>
          <w:rFonts w:hint="eastAsia" w:ascii="宋体" w:hAnsi="宋体" w:eastAsia="宋体" w:cs="宋体"/>
          <w:color w:val="auto"/>
          <w:highlight w:val="none"/>
        </w:rPr>
        <w:sectPr>
          <w:pgSz w:w="11907" w:h="16840"/>
          <w:pgMar w:top="1134" w:right="1191" w:bottom="1134" w:left="1304" w:header="851" w:footer="992" w:gutter="0"/>
          <w:pgNumType w:fmt="decimal"/>
          <w:cols w:space="720" w:num="1"/>
          <w:docGrid w:linePitch="380" w:charSpace="-5735"/>
        </w:sectPr>
      </w:pPr>
    </w:p>
    <w:p w14:paraId="417A647D">
      <w:pPr>
        <w:pStyle w:val="245"/>
        <w:spacing w:line="360" w:lineRule="auto"/>
        <w:ind w:firstLine="723" w:firstLineChars="200"/>
        <w:jc w:val="both"/>
        <w:rPr>
          <w:rFonts w:hint="eastAsia" w:ascii="宋体" w:hAnsi="宋体" w:eastAsia="宋体" w:cs="宋体"/>
          <w:color w:val="auto"/>
          <w:sz w:val="36"/>
          <w:szCs w:val="36"/>
          <w:highlight w:val="none"/>
          <w:lang w:val="en-US" w:eastAsia="zh-CN"/>
        </w:rPr>
      </w:pPr>
      <w:bookmarkStart w:id="414" w:name="_Toc23638"/>
      <w:bookmarkStart w:id="415" w:name="_Toc12097"/>
      <w:bookmarkStart w:id="416" w:name="_Toc18772"/>
      <w:bookmarkStart w:id="417" w:name="_Toc28409"/>
      <w:bookmarkStart w:id="418" w:name="_Toc3538"/>
      <w:r>
        <w:rPr>
          <w:rFonts w:hint="eastAsia" w:ascii="宋体" w:hAnsi="宋体" w:eastAsia="宋体" w:cs="宋体"/>
          <w:color w:val="auto"/>
          <w:sz w:val="36"/>
          <w:szCs w:val="36"/>
          <w:highlight w:val="none"/>
        </w:rPr>
        <w:t>附件</w:t>
      </w:r>
      <w:r>
        <w:rPr>
          <w:rFonts w:hint="eastAsia" w:ascii="宋体" w:hAnsi="宋体" w:eastAsia="宋体" w:cs="宋体"/>
          <w:color w:val="auto"/>
          <w:sz w:val="36"/>
          <w:szCs w:val="36"/>
          <w:highlight w:val="none"/>
          <w:lang w:val="en-US" w:eastAsia="zh-CN"/>
        </w:rPr>
        <w:t>1：</w:t>
      </w:r>
    </w:p>
    <w:p w14:paraId="6000934A">
      <w:pPr>
        <w:pStyle w:val="245"/>
        <w:spacing w:line="360" w:lineRule="auto"/>
        <w:ind w:firstLine="723" w:firstLineChars="20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36"/>
          <w:szCs w:val="36"/>
          <w:highlight w:val="none"/>
          <w:lang w:val="en-US" w:eastAsia="zh-CN"/>
        </w:rPr>
        <w:t>报名表</w:t>
      </w:r>
      <w:bookmarkEnd w:id="414"/>
      <w:bookmarkEnd w:id="415"/>
      <w:bookmarkEnd w:id="416"/>
    </w:p>
    <w:tbl>
      <w:tblPr>
        <w:tblStyle w:val="5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1921"/>
        <w:gridCol w:w="1910"/>
        <w:gridCol w:w="3106"/>
      </w:tblGrid>
      <w:tr w14:paraId="456A9A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jc w:val="center"/>
        </w:trPr>
        <w:tc>
          <w:tcPr>
            <w:tcW w:w="2302" w:type="dxa"/>
            <w:noWrap w:val="0"/>
            <w:vAlign w:val="center"/>
          </w:tcPr>
          <w:p w14:paraId="49539359">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名称</w:t>
            </w:r>
          </w:p>
        </w:tc>
        <w:tc>
          <w:tcPr>
            <w:tcW w:w="6937" w:type="dxa"/>
            <w:gridSpan w:val="3"/>
            <w:noWrap w:val="0"/>
            <w:vAlign w:val="center"/>
          </w:tcPr>
          <w:p w14:paraId="34B0F05E">
            <w:pPr>
              <w:jc w:val="center"/>
              <w:rPr>
                <w:rFonts w:hint="eastAsia" w:ascii="宋体" w:hAnsi="宋体" w:cs="宋体"/>
                <w:color w:val="auto"/>
                <w:szCs w:val="21"/>
                <w:highlight w:val="none"/>
              </w:rPr>
            </w:pP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（公章）</w:t>
            </w:r>
          </w:p>
        </w:tc>
      </w:tr>
      <w:tr w14:paraId="209C05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02" w:type="dxa"/>
            <w:noWrap w:val="0"/>
            <w:vAlign w:val="center"/>
          </w:tcPr>
          <w:p w14:paraId="5FD175E6">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6937" w:type="dxa"/>
            <w:gridSpan w:val="3"/>
            <w:noWrap w:val="0"/>
            <w:vAlign w:val="center"/>
          </w:tcPr>
          <w:p w14:paraId="3197A2CA">
            <w:pPr>
              <w:jc w:val="center"/>
              <w:rPr>
                <w:rFonts w:hint="eastAsia" w:ascii="宋体" w:hAnsi="宋体" w:cs="宋体"/>
                <w:color w:val="auto"/>
                <w:szCs w:val="21"/>
                <w:highlight w:val="none"/>
              </w:rPr>
            </w:pPr>
          </w:p>
        </w:tc>
      </w:tr>
      <w:tr w14:paraId="769FA0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302" w:type="dxa"/>
            <w:noWrap w:val="0"/>
            <w:vAlign w:val="center"/>
          </w:tcPr>
          <w:p w14:paraId="2452EF89">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1921" w:type="dxa"/>
            <w:noWrap w:val="0"/>
            <w:vAlign w:val="center"/>
          </w:tcPr>
          <w:p w14:paraId="33883151">
            <w:pPr>
              <w:jc w:val="center"/>
              <w:rPr>
                <w:rFonts w:hint="eastAsia" w:ascii="宋体" w:hAnsi="宋体" w:cs="宋体"/>
                <w:color w:val="auto"/>
                <w:szCs w:val="21"/>
                <w:highlight w:val="none"/>
              </w:rPr>
            </w:pPr>
          </w:p>
        </w:tc>
        <w:tc>
          <w:tcPr>
            <w:tcW w:w="1910" w:type="dxa"/>
            <w:noWrap w:val="0"/>
            <w:vAlign w:val="center"/>
          </w:tcPr>
          <w:p w14:paraId="480A3B9F">
            <w:pPr>
              <w:jc w:val="center"/>
              <w:rPr>
                <w:rFonts w:hint="eastAsia" w:ascii="宋体" w:hAnsi="宋体" w:cs="宋体"/>
                <w:color w:val="auto"/>
                <w:szCs w:val="21"/>
                <w:highlight w:val="none"/>
              </w:rPr>
            </w:pPr>
            <w:r>
              <w:rPr>
                <w:rFonts w:hint="eastAsia" w:ascii="宋体" w:hAnsi="宋体" w:cs="宋体"/>
                <w:color w:val="auto"/>
                <w:szCs w:val="21"/>
                <w:highlight w:val="none"/>
              </w:rPr>
              <w:t>手机</w:t>
            </w:r>
          </w:p>
        </w:tc>
        <w:tc>
          <w:tcPr>
            <w:tcW w:w="3106" w:type="dxa"/>
            <w:noWrap w:val="0"/>
            <w:vAlign w:val="center"/>
          </w:tcPr>
          <w:p w14:paraId="1555FBEF">
            <w:pPr>
              <w:jc w:val="center"/>
              <w:rPr>
                <w:rFonts w:hint="eastAsia" w:ascii="宋体" w:hAnsi="宋体" w:cs="宋体"/>
                <w:color w:val="auto"/>
                <w:szCs w:val="21"/>
                <w:highlight w:val="none"/>
              </w:rPr>
            </w:pPr>
          </w:p>
        </w:tc>
      </w:tr>
      <w:tr w14:paraId="5AC9A8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302" w:type="dxa"/>
            <w:noWrap w:val="0"/>
            <w:vAlign w:val="center"/>
          </w:tcPr>
          <w:p w14:paraId="78C0930B">
            <w:pPr>
              <w:jc w:val="center"/>
              <w:rPr>
                <w:rFonts w:hint="eastAsia" w:ascii="宋体" w:hAnsi="宋体" w:cs="宋体"/>
                <w:color w:val="auto"/>
                <w:szCs w:val="21"/>
                <w:highlight w:val="none"/>
              </w:rPr>
            </w:pPr>
            <w:r>
              <w:rPr>
                <w:rFonts w:hint="eastAsia" w:ascii="宋体" w:hAnsi="宋体" w:cs="宋体"/>
                <w:color w:val="auto"/>
                <w:szCs w:val="21"/>
                <w:highlight w:val="none"/>
              </w:rPr>
              <w:t>办公电话</w:t>
            </w:r>
          </w:p>
        </w:tc>
        <w:tc>
          <w:tcPr>
            <w:tcW w:w="1921" w:type="dxa"/>
            <w:noWrap w:val="0"/>
            <w:vAlign w:val="center"/>
          </w:tcPr>
          <w:p w14:paraId="33B89063">
            <w:pPr>
              <w:jc w:val="center"/>
              <w:rPr>
                <w:rFonts w:hint="eastAsia" w:ascii="宋体" w:hAnsi="宋体" w:cs="宋体"/>
                <w:color w:val="auto"/>
                <w:szCs w:val="21"/>
                <w:highlight w:val="none"/>
              </w:rPr>
            </w:pPr>
          </w:p>
        </w:tc>
        <w:tc>
          <w:tcPr>
            <w:tcW w:w="1910" w:type="dxa"/>
            <w:noWrap w:val="0"/>
            <w:vAlign w:val="center"/>
          </w:tcPr>
          <w:p w14:paraId="593ABA0B">
            <w:pPr>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《中标通知书》收件地址</w:t>
            </w:r>
          </w:p>
          <w:p w14:paraId="683A9E71">
            <w:pPr>
              <w:ind w:firstLine="0" w:firstLineChars="0"/>
              <w:rPr>
                <w:rFonts w:hint="eastAsia" w:ascii="宋体" w:hAnsi="宋体" w:cs="宋体"/>
                <w:color w:val="auto"/>
                <w:szCs w:val="21"/>
                <w:highlight w:val="none"/>
              </w:rPr>
            </w:pPr>
            <w:r>
              <w:rPr>
                <w:rFonts w:hint="eastAsia" w:ascii="宋体" w:hAnsi="宋体" w:cs="宋体"/>
                <w:color w:val="auto"/>
                <w:sz w:val="21"/>
                <w:szCs w:val="16"/>
                <w:highlight w:val="none"/>
              </w:rPr>
              <w:t>（请准确填写）</w:t>
            </w:r>
          </w:p>
        </w:tc>
        <w:tc>
          <w:tcPr>
            <w:tcW w:w="3106" w:type="dxa"/>
            <w:noWrap w:val="0"/>
            <w:vAlign w:val="center"/>
          </w:tcPr>
          <w:p w14:paraId="1D16AA19">
            <w:pPr>
              <w:jc w:val="center"/>
              <w:rPr>
                <w:rFonts w:hint="eastAsia" w:ascii="宋体" w:hAnsi="宋体" w:cs="宋体"/>
                <w:color w:val="auto"/>
                <w:szCs w:val="21"/>
                <w:highlight w:val="none"/>
              </w:rPr>
            </w:pPr>
          </w:p>
        </w:tc>
      </w:tr>
    </w:tbl>
    <w:p w14:paraId="55CE2CFE">
      <w:pPr>
        <w:spacing w:line="240" w:lineRule="auto"/>
        <w:ind w:firstLine="0" w:firstLineChars="0"/>
        <w:jc w:val="center"/>
        <w:outlineLvl w:val="9"/>
        <w:rPr>
          <w:rFonts w:hint="default" w:ascii="Times New Roman" w:hAnsi="Times New Roman" w:eastAsia="宋体" w:cs="Times New Roman"/>
          <w:color w:val="auto"/>
          <w:highlight w:val="none"/>
        </w:rPr>
      </w:pPr>
    </w:p>
    <w:p w14:paraId="30973A75">
      <w:pPr>
        <w:pStyle w:val="242"/>
        <w:ind w:firstLine="642" w:firstLineChars="200"/>
        <w:outlineLvl w:val="0"/>
        <w:rPr>
          <w:rFonts w:hint="eastAsia" w:ascii="宋体" w:hAnsi="宋体" w:eastAsia="宋体" w:cs="宋体"/>
          <w:b/>
          <w:bCs w:val="0"/>
          <w:color w:val="auto"/>
          <w:sz w:val="30"/>
          <w:szCs w:val="30"/>
          <w:highlight w:val="none"/>
          <w:lang w:val="en-US" w:eastAsia="zh-CN"/>
        </w:rPr>
        <w:sectPr>
          <w:pgSz w:w="11907" w:h="16840"/>
          <w:pgMar w:top="1134" w:right="1191" w:bottom="1134" w:left="1304" w:header="851" w:footer="992" w:gutter="0"/>
          <w:pgNumType w:fmt="decimal"/>
          <w:cols w:space="720" w:num="1"/>
          <w:docGrid w:linePitch="380" w:charSpace="-5735"/>
        </w:sectPr>
      </w:pPr>
    </w:p>
    <w:p w14:paraId="5539927C">
      <w:pPr>
        <w:pStyle w:val="242"/>
        <w:ind w:firstLine="642" w:firstLineChars="200"/>
        <w:outlineLvl w:val="0"/>
        <w:rPr>
          <w:rFonts w:hint="eastAsia" w:ascii="宋体" w:hAnsi="宋体" w:eastAsia="宋体" w:cs="宋体"/>
          <w:b/>
          <w:bCs w:val="0"/>
          <w:color w:val="auto"/>
          <w:sz w:val="30"/>
          <w:szCs w:val="30"/>
          <w:highlight w:val="none"/>
          <w:lang w:val="en-US" w:eastAsia="zh-CN"/>
        </w:rPr>
      </w:pPr>
      <w:r>
        <w:rPr>
          <w:rFonts w:hint="eastAsia" w:ascii="宋体" w:hAnsi="宋体" w:eastAsia="宋体" w:cs="宋体"/>
          <w:b/>
          <w:bCs w:val="0"/>
          <w:color w:val="auto"/>
          <w:sz w:val="30"/>
          <w:szCs w:val="30"/>
          <w:highlight w:val="none"/>
          <w:lang w:val="en-US" w:eastAsia="zh-CN"/>
        </w:rPr>
        <w:t>附件</w:t>
      </w:r>
      <w:bookmarkEnd w:id="417"/>
      <w:bookmarkEnd w:id="418"/>
      <w:r>
        <w:rPr>
          <w:rFonts w:hint="eastAsia" w:ascii="宋体" w:hAnsi="宋体" w:eastAsia="宋体" w:cs="宋体"/>
          <w:b/>
          <w:bCs w:val="0"/>
          <w:color w:val="auto"/>
          <w:sz w:val="30"/>
          <w:szCs w:val="30"/>
          <w:highlight w:val="none"/>
          <w:lang w:val="en-US" w:eastAsia="zh-CN"/>
        </w:rPr>
        <w:t>2：</w:t>
      </w:r>
    </w:p>
    <w:p w14:paraId="52B93461">
      <w:pPr>
        <w:pStyle w:val="244"/>
        <w:spacing w:after="0" w:line="400" w:lineRule="exact"/>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护工</w:t>
      </w:r>
      <w:r>
        <w:rPr>
          <w:rFonts w:hint="eastAsia" w:ascii="宋体" w:hAnsi="宋体" w:eastAsia="宋体" w:cs="宋体"/>
          <w:b/>
          <w:color w:val="auto"/>
          <w:sz w:val="28"/>
          <w:szCs w:val="28"/>
          <w:highlight w:val="none"/>
          <w:lang w:val="en-US" w:eastAsia="zh-CN"/>
        </w:rPr>
        <w:t>等级陪护</w:t>
      </w:r>
      <w:r>
        <w:rPr>
          <w:rFonts w:hint="eastAsia" w:ascii="宋体" w:hAnsi="宋体" w:eastAsia="宋体" w:cs="宋体"/>
          <w:b/>
          <w:color w:val="auto"/>
          <w:sz w:val="28"/>
          <w:szCs w:val="28"/>
          <w:highlight w:val="none"/>
        </w:rPr>
        <w:t>服务内容</w:t>
      </w:r>
    </w:p>
    <w:p w14:paraId="47F66F20">
      <w:pPr>
        <w:spacing w:line="520" w:lineRule="exact"/>
        <w:ind w:firstLine="434" w:firstLineChars="200"/>
        <w:rPr>
          <w:rFonts w:hint="eastAsia" w:ascii="宋体" w:hAnsi="宋体" w:eastAsia="宋体" w:cs="宋体"/>
          <w:b/>
          <w:color w:val="auto"/>
          <w:w w:val="90"/>
          <w:sz w:val="24"/>
          <w:szCs w:val="24"/>
          <w:highlight w:val="none"/>
          <w:lang w:eastAsia="zh-CN"/>
        </w:rPr>
      </w:pPr>
      <w:r>
        <w:rPr>
          <w:rFonts w:hint="eastAsia" w:ascii="宋体" w:hAnsi="宋体" w:eastAsia="宋体" w:cs="宋体"/>
          <w:b/>
          <w:color w:val="auto"/>
          <w:w w:val="90"/>
          <w:sz w:val="24"/>
          <w:szCs w:val="24"/>
          <w:highlight w:val="none"/>
          <w:lang w:val="en-US" w:eastAsia="zh-CN"/>
        </w:rPr>
        <w:t>C</w:t>
      </w:r>
      <w:r>
        <w:rPr>
          <w:rFonts w:hint="eastAsia" w:ascii="宋体" w:hAnsi="宋体" w:eastAsia="宋体" w:cs="宋体"/>
          <w:b/>
          <w:color w:val="auto"/>
          <w:w w:val="90"/>
          <w:sz w:val="24"/>
          <w:szCs w:val="24"/>
          <w:highlight w:val="none"/>
        </w:rPr>
        <w:t>级陪护：</w:t>
      </w:r>
    </w:p>
    <w:p w14:paraId="5B933BC8">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服务对象：</w:t>
      </w:r>
      <w:r>
        <w:rPr>
          <w:rFonts w:hint="eastAsia" w:ascii="宋体" w:hAnsi="宋体" w:eastAsia="宋体" w:cs="宋体"/>
          <w:color w:val="auto"/>
          <w:sz w:val="24"/>
          <w:szCs w:val="24"/>
          <w:highlight w:val="none"/>
          <w:lang w:val="en-US" w:eastAsia="zh-CN"/>
        </w:rPr>
        <w:t>8小时内</w:t>
      </w:r>
      <w:r>
        <w:rPr>
          <w:rFonts w:hint="eastAsia" w:ascii="宋体" w:hAnsi="宋体" w:eastAsia="宋体" w:cs="宋体"/>
          <w:color w:val="auto"/>
          <w:sz w:val="24"/>
          <w:szCs w:val="24"/>
          <w:highlight w:val="none"/>
        </w:rPr>
        <w:t>有需求且生活能自理的患者</w:t>
      </w:r>
      <w:r>
        <w:rPr>
          <w:rFonts w:hint="eastAsia" w:ascii="宋体" w:hAnsi="宋体" w:eastAsia="宋体" w:cs="宋体"/>
          <w:color w:val="auto"/>
          <w:w w:val="90"/>
          <w:sz w:val="24"/>
          <w:szCs w:val="24"/>
          <w:highlight w:val="none"/>
        </w:rPr>
        <w:t>（07:30—16:30）</w:t>
      </w:r>
    </w:p>
    <w:p w14:paraId="6E088FF1">
      <w:pPr>
        <w:tabs>
          <w:tab w:val="left" w:pos="5610"/>
        </w:tabs>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服务方式：一名护工为多名患者在约定时间内提供以下走动式服务。</w:t>
      </w:r>
    </w:p>
    <w:p w14:paraId="73FB0703">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服务范围：1</w:t>
      </w:r>
      <w:r>
        <w:rPr>
          <w:rFonts w:hint="eastAsia" w:ascii="宋体" w:hAnsi="宋体" w:eastAsia="宋体" w:cs="宋体"/>
          <w:color w:val="auto"/>
          <w:sz w:val="24"/>
          <w:szCs w:val="24"/>
          <w:highlight w:val="none"/>
          <w:lang w:eastAsia="zh-CN"/>
        </w:rPr>
        <w:t xml:space="preserve">. </w:t>
      </w:r>
      <w:r>
        <w:rPr>
          <w:rFonts w:hint="eastAsia" w:ascii="宋体" w:hAnsi="宋体" w:cs="宋体"/>
          <w:color w:val="auto"/>
          <w:sz w:val="24"/>
          <w:szCs w:val="24"/>
          <w:highlight w:val="none"/>
          <w:lang w:eastAsia="zh-CN"/>
        </w:rPr>
        <w:t>家属不在场时，为住院患者提供打饭、热饭、打开水、清洗餐具等服务。</w:t>
      </w:r>
    </w:p>
    <w:p w14:paraId="0B6BDFA5">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cs="宋体"/>
          <w:color w:val="auto"/>
          <w:sz w:val="24"/>
          <w:szCs w:val="24"/>
          <w:highlight w:val="none"/>
          <w:lang w:eastAsia="zh-CN"/>
        </w:rPr>
        <w:t>为行动不便的患者代办住院费补交、医保办医保录入等事宜。</w:t>
      </w:r>
    </w:p>
    <w:p w14:paraId="25F69781">
      <w:pPr>
        <w:spacing w:line="520" w:lineRule="exact"/>
        <w:ind w:left="1428" w:leftChars="51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cs="宋体"/>
          <w:color w:val="auto"/>
          <w:sz w:val="24"/>
          <w:szCs w:val="24"/>
          <w:highlight w:val="none"/>
          <w:lang w:eastAsia="zh-CN"/>
        </w:rPr>
        <w:t>定时巡房，为输液或卧床患者提供生活协助服务；代为购买生活用品、办理入出院手续等。</w:t>
      </w:r>
    </w:p>
    <w:p w14:paraId="24A1BAF9">
      <w:pPr>
        <w:spacing w:line="5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lang w:eastAsia="zh-CN"/>
        </w:rPr>
        <w:t>4.护工未经允许不得参与医疗行为（送标本、病人转运等）。</w:t>
      </w:r>
    </w:p>
    <w:p w14:paraId="74AE7DBA">
      <w:pPr>
        <w:spacing w:line="520" w:lineRule="exact"/>
        <w:ind w:firstLine="434" w:firstLineChars="200"/>
        <w:rPr>
          <w:rFonts w:hint="eastAsia" w:ascii="宋体" w:hAnsi="宋体" w:eastAsia="宋体" w:cs="宋体"/>
          <w:b/>
          <w:color w:val="auto"/>
          <w:w w:val="90"/>
          <w:sz w:val="24"/>
          <w:szCs w:val="24"/>
          <w:highlight w:val="none"/>
        </w:rPr>
      </w:pPr>
      <w:r>
        <w:rPr>
          <w:rFonts w:hint="eastAsia" w:ascii="宋体" w:hAnsi="宋体" w:eastAsia="宋体" w:cs="宋体"/>
          <w:b/>
          <w:color w:val="auto"/>
          <w:w w:val="90"/>
          <w:sz w:val="24"/>
          <w:szCs w:val="24"/>
          <w:highlight w:val="none"/>
          <w:lang w:val="en-US" w:eastAsia="zh-CN"/>
        </w:rPr>
        <w:t>B</w:t>
      </w:r>
      <w:r>
        <w:rPr>
          <w:rFonts w:hint="eastAsia" w:ascii="宋体" w:hAnsi="宋体" w:eastAsia="宋体" w:cs="宋体"/>
          <w:b/>
          <w:color w:val="auto"/>
          <w:w w:val="90"/>
          <w:sz w:val="24"/>
          <w:szCs w:val="24"/>
          <w:highlight w:val="none"/>
        </w:rPr>
        <w:t>级陪护：</w:t>
      </w:r>
    </w:p>
    <w:p w14:paraId="2E8AE69C">
      <w:pPr>
        <w:tabs>
          <w:tab w:val="left" w:pos="5610"/>
        </w:tabs>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服务对象：</w:t>
      </w:r>
      <w:r>
        <w:rPr>
          <w:rFonts w:hint="eastAsia" w:ascii="宋体" w:hAnsi="宋体" w:eastAsia="宋体" w:cs="宋体"/>
          <w:b/>
          <w:color w:val="auto"/>
          <w:w w:val="90"/>
          <w:sz w:val="24"/>
          <w:szCs w:val="24"/>
          <w:highlight w:val="none"/>
          <w:lang w:val="en-US" w:eastAsia="zh-CN"/>
        </w:rPr>
        <w:t>24小</w:t>
      </w:r>
      <w:r>
        <w:rPr>
          <w:rFonts w:hint="eastAsia" w:ascii="宋体" w:hAnsi="宋体" w:eastAsia="宋体" w:cs="宋体"/>
          <w:color w:val="auto"/>
          <w:sz w:val="24"/>
          <w:szCs w:val="24"/>
          <w:highlight w:val="none"/>
        </w:rPr>
        <w:t>时内</w:t>
      </w:r>
      <w:r>
        <w:rPr>
          <w:rFonts w:hint="eastAsia" w:ascii="宋体" w:hAnsi="宋体" w:eastAsia="宋体" w:cs="宋体"/>
          <w:color w:val="auto"/>
          <w:sz w:val="24"/>
          <w:szCs w:val="24"/>
          <w:highlight w:val="none"/>
          <w:lang w:eastAsia="zh-CN"/>
        </w:rPr>
        <w:t>阶段性</w:t>
      </w:r>
      <w:r>
        <w:rPr>
          <w:rFonts w:hint="eastAsia" w:ascii="宋体" w:hAnsi="宋体" w:eastAsia="宋体" w:cs="宋体"/>
          <w:color w:val="auto"/>
          <w:sz w:val="24"/>
          <w:szCs w:val="24"/>
          <w:highlight w:val="none"/>
        </w:rPr>
        <w:t>照护且生活部分自理的患者。</w:t>
      </w:r>
    </w:p>
    <w:p w14:paraId="5CF71A1C">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服务方式：一名护工为两名患者在约定时间内提供以下服务。</w:t>
      </w:r>
    </w:p>
    <w:p w14:paraId="551A38EB">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服务范围：1</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rPr>
        <w:t>涵盖</w:t>
      </w:r>
      <w:r>
        <w:rPr>
          <w:rFonts w:hint="eastAsia" w:ascii="宋体" w:hAnsi="宋体" w:eastAsia="宋体" w:cs="宋体"/>
          <w:color w:val="auto"/>
          <w:sz w:val="24"/>
          <w:szCs w:val="24"/>
          <w:highlight w:val="none"/>
          <w:lang w:val="en-US" w:eastAsia="zh-CN"/>
        </w:rPr>
        <w:t>C</w:t>
      </w:r>
      <w:r>
        <w:rPr>
          <w:rFonts w:hint="eastAsia" w:ascii="宋体" w:hAnsi="宋体" w:eastAsia="宋体" w:cs="宋体"/>
          <w:color w:val="auto"/>
          <w:sz w:val="24"/>
          <w:szCs w:val="24"/>
          <w:highlight w:val="none"/>
        </w:rPr>
        <w:t>级照护范围（1-4）条内容</w:t>
      </w:r>
      <w:r>
        <w:rPr>
          <w:rFonts w:hint="eastAsia" w:ascii="宋体" w:hAnsi="宋体" w:eastAsia="宋体" w:cs="宋体"/>
          <w:color w:val="auto"/>
          <w:sz w:val="24"/>
          <w:szCs w:val="24"/>
          <w:highlight w:val="none"/>
          <w:lang w:eastAsia="zh-CN"/>
        </w:rPr>
        <w:t>。</w:t>
      </w:r>
    </w:p>
    <w:p w14:paraId="0F7C9A0F">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cs="宋体"/>
          <w:color w:val="auto"/>
          <w:sz w:val="24"/>
          <w:szCs w:val="24"/>
          <w:highlight w:val="none"/>
          <w:lang w:eastAsia="zh-CN"/>
        </w:rPr>
        <w:t>协助患者完成洗脸、漱口、梳头、擦身、更换污损衣裤等日常护理事项。</w:t>
      </w:r>
    </w:p>
    <w:p w14:paraId="33476A6C">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为病人端送饭菜并协助病人用餐</w:t>
      </w:r>
      <w:r>
        <w:rPr>
          <w:rFonts w:hint="eastAsia" w:ascii="宋体" w:hAnsi="宋体" w:eastAsia="宋体" w:cs="宋体"/>
          <w:color w:val="auto"/>
          <w:sz w:val="24"/>
          <w:szCs w:val="24"/>
          <w:highlight w:val="none"/>
          <w:lang w:eastAsia="zh-CN"/>
        </w:rPr>
        <w:t>等。</w:t>
      </w:r>
    </w:p>
    <w:p w14:paraId="6820B718">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w:t>
      </w:r>
      <w:r>
        <w:rPr>
          <w:rFonts w:hint="eastAsia" w:ascii="宋体" w:hAnsi="宋体" w:cs="宋体"/>
          <w:color w:val="auto"/>
          <w:sz w:val="24"/>
          <w:szCs w:val="24"/>
          <w:highlight w:val="none"/>
          <w:lang w:eastAsia="zh-CN"/>
        </w:rPr>
        <w:t>搀扶患者如厕，并及时清洁便盆、尿壶等器具。</w:t>
      </w:r>
    </w:p>
    <w:p w14:paraId="35C6C14F">
      <w:pPr>
        <w:pStyle w:val="242"/>
        <w:spacing w:before="0" w:after="0"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Cs w:val="0"/>
          <w:color w:val="auto"/>
          <w:spacing w:val="0"/>
          <w:kern w:val="2"/>
          <w:sz w:val="24"/>
          <w:szCs w:val="24"/>
          <w:highlight w:val="none"/>
          <w:lang w:val="en-US" w:eastAsia="zh-CN" w:bidi="ar-SA"/>
        </w:rPr>
        <w:t>5.在医护人员的指导下帮助病人翻身、拍背、更换卧位</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Cs w:val="24"/>
          <w:highlight w:val="none"/>
          <w:lang w:eastAsia="zh-CN"/>
        </w:rPr>
        <w:t>。</w:t>
      </w:r>
    </w:p>
    <w:p w14:paraId="68BDA54D">
      <w:pPr>
        <w:spacing w:line="520" w:lineRule="exact"/>
        <w:ind w:firstLine="434" w:firstLineChars="200"/>
        <w:rPr>
          <w:rFonts w:hint="eastAsia" w:ascii="宋体" w:hAnsi="宋体" w:eastAsia="宋体" w:cs="宋体"/>
          <w:b/>
          <w:color w:val="auto"/>
          <w:w w:val="90"/>
          <w:sz w:val="24"/>
          <w:szCs w:val="24"/>
          <w:highlight w:val="none"/>
        </w:rPr>
      </w:pPr>
      <w:r>
        <w:rPr>
          <w:rFonts w:hint="eastAsia" w:ascii="宋体" w:hAnsi="宋体" w:eastAsia="宋体" w:cs="宋体"/>
          <w:b/>
          <w:color w:val="auto"/>
          <w:w w:val="90"/>
          <w:sz w:val="24"/>
          <w:szCs w:val="24"/>
          <w:highlight w:val="none"/>
        </w:rPr>
        <w:t>A级陪护：</w:t>
      </w:r>
    </w:p>
    <w:p w14:paraId="1B15ABE9">
      <w:pPr>
        <w:spacing w:line="520" w:lineRule="exact"/>
        <w:ind w:left="252" w:leftChars="9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服务对象：24小时需连续照护且生活完全不能自理的患者。</w:t>
      </w:r>
    </w:p>
    <w:p w14:paraId="6AAF5B10">
      <w:pPr>
        <w:spacing w:line="520" w:lineRule="exact"/>
        <w:ind w:left="238" w:leftChars="8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服务方式：一名护工为一名患者在约定时间内提供以下服务。</w:t>
      </w:r>
    </w:p>
    <w:p w14:paraId="241F6CF3">
      <w:pPr>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服务范围：1</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rPr>
        <w:t>涵盖B级照护范围（1-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）条内容</w:t>
      </w:r>
      <w:r>
        <w:rPr>
          <w:rFonts w:hint="eastAsia" w:ascii="宋体" w:hAnsi="宋体" w:eastAsia="宋体" w:cs="宋体"/>
          <w:color w:val="auto"/>
          <w:sz w:val="24"/>
          <w:szCs w:val="24"/>
          <w:highlight w:val="none"/>
          <w:lang w:eastAsia="zh-CN"/>
        </w:rPr>
        <w:t>。</w:t>
      </w:r>
    </w:p>
    <w:p w14:paraId="4F667B74">
      <w:pPr>
        <w:pStyle w:val="22"/>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2.协助患者处理大小便，做到随脏随换随洗，并清洗贴身衣裤等物品。</w:t>
      </w:r>
    </w:p>
    <w:p w14:paraId="07B924EB">
      <w:pPr>
        <w:ind w:firstLine="602" w:firstLineChars="200"/>
        <w:jc w:val="left"/>
        <w:outlineLvl w:val="0"/>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color w:val="auto"/>
          <w:kern w:val="0"/>
          <w:sz w:val="30"/>
          <w:szCs w:val="30"/>
          <w:highlight w:val="none"/>
          <w:lang w:val="en-US" w:eastAsia="zh-CN" w:bidi="ar-SA"/>
        </w:rPr>
        <w:br w:type="page"/>
      </w:r>
    </w:p>
    <w:p w14:paraId="1313C994">
      <w:pPr>
        <w:pStyle w:val="242"/>
        <w:ind w:firstLine="642" w:firstLineChars="200"/>
        <w:outlineLvl w:val="0"/>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bCs w:val="0"/>
          <w:color w:val="auto"/>
          <w:sz w:val="30"/>
          <w:szCs w:val="30"/>
          <w:highlight w:val="none"/>
          <w:lang w:val="en-US" w:eastAsia="zh-CN"/>
        </w:rPr>
        <w:t>附件3：</w:t>
      </w:r>
    </w:p>
    <w:p w14:paraId="795620DD">
      <w:pPr>
        <w:ind w:firstLine="602" w:firstLineChars="200"/>
        <w:jc w:val="center"/>
        <w:rPr>
          <w:rFonts w:hint="eastAsia" w:ascii="宋体" w:hAnsi="宋体" w:eastAsia="宋体" w:cs="宋体"/>
          <w:b/>
          <w:color w:val="auto"/>
          <w:kern w:val="0"/>
          <w:sz w:val="30"/>
          <w:szCs w:val="30"/>
          <w:highlight w:val="none"/>
          <w:lang w:val="en-US" w:eastAsia="zh-CN" w:bidi="ar-SA"/>
        </w:rPr>
      </w:pPr>
      <w:r>
        <w:rPr>
          <w:rFonts w:hint="eastAsia" w:ascii="宋体" w:hAnsi="宋体" w:eastAsia="宋体" w:cs="宋体"/>
          <w:b/>
          <w:color w:val="auto"/>
          <w:kern w:val="0"/>
          <w:sz w:val="30"/>
          <w:szCs w:val="30"/>
          <w:highlight w:val="none"/>
          <w:lang w:val="en-US" w:eastAsia="zh-CN" w:bidi="ar-SA"/>
        </w:rPr>
        <w:t>护工服务质量检查标准及评分细则</w:t>
      </w:r>
    </w:p>
    <w:p w14:paraId="55C448C6">
      <w:pPr>
        <w:pStyle w:val="242"/>
        <w:rPr>
          <w:rFonts w:hint="eastAsia" w:ascii="宋体" w:hAnsi="宋体" w:eastAsia="宋体" w:cs="宋体"/>
          <w:color w:val="auto"/>
          <w:highlight w:val="none"/>
        </w:rPr>
      </w:pPr>
    </w:p>
    <w:tbl>
      <w:tblPr>
        <w:tblStyle w:val="58"/>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6294"/>
        <w:gridCol w:w="1650"/>
        <w:gridCol w:w="809"/>
      </w:tblGrid>
      <w:tr w14:paraId="623F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62" w:type="dxa"/>
            <w:noWrap w:val="0"/>
            <w:vAlign w:val="center"/>
          </w:tcPr>
          <w:p w14:paraId="52F07D6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w:t>
            </w:r>
          </w:p>
        </w:tc>
        <w:tc>
          <w:tcPr>
            <w:tcW w:w="6294" w:type="dxa"/>
            <w:noWrap w:val="0"/>
            <w:vAlign w:val="center"/>
          </w:tcPr>
          <w:p w14:paraId="16A80AB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检查内容</w:t>
            </w:r>
          </w:p>
        </w:tc>
        <w:tc>
          <w:tcPr>
            <w:tcW w:w="1650" w:type="dxa"/>
            <w:noWrap w:val="0"/>
            <w:vAlign w:val="center"/>
          </w:tcPr>
          <w:p w14:paraId="331A863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检查方式</w:t>
            </w:r>
          </w:p>
        </w:tc>
        <w:tc>
          <w:tcPr>
            <w:tcW w:w="809" w:type="dxa"/>
            <w:noWrap w:val="0"/>
            <w:vAlign w:val="center"/>
          </w:tcPr>
          <w:p w14:paraId="42A56AE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分值</w:t>
            </w:r>
          </w:p>
        </w:tc>
      </w:tr>
      <w:tr w14:paraId="473E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62" w:type="dxa"/>
            <w:vMerge w:val="restart"/>
            <w:noWrap w:val="0"/>
            <w:vAlign w:val="center"/>
          </w:tcPr>
          <w:p w14:paraId="1B37CB12">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制度</w:t>
            </w:r>
          </w:p>
          <w:p w14:paraId="62BFD91D">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管理</w:t>
            </w:r>
          </w:p>
          <w:p w14:paraId="01C7E3E4">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10分</w:t>
            </w:r>
          </w:p>
        </w:tc>
        <w:tc>
          <w:tcPr>
            <w:tcW w:w="6294" w:type="dxa"/>
            <w:noWrap w:val="0"/>
            <w:vAlign w:val="center"/>
          </w:tcPr>
          <w:p w14:paraId="7EB9B8C4">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1.遵守医院管理制度，维护医院形象与声誉。</w:t>
            </w:r>
          </w:p>
        </w:tc>
        <w:tc>
          <w:tcPr>
            <w:tcW w:w="1650" w:type="dxa"/>
            <w:noWrap w:val="0"/>
            <w:vAlign w:val="center"/>
          </w:tcPr>
          <w:p w14:paraId="29AA41F7">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现场抽问</w:t>
            </w:r>
          </w:p>
        </w:tc>
        <w:tc>
          <w:tcPr>
            <w:tcW w:w="809" w:type="dxa"/>
            <w:noWrap w:val="0"/>
            <w:vAlign w:val="center"/>
          </w:tcPr>
          <w:p w14:paraId="4076D88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6404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62" w:type="dxa"/>
            <w:vMerge w:val="continue"/>
            <w:noWrap w:val="0"/>
            <w:vAlign w:val="center"/>
          </w:tcPr>
          <w:p w14:paraId="2F6AA8BB">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363A69BA">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2.服从医院、科室工作调度和管理，满足病人基本及特殊服务需求。</w:t>
            </w:r>
          </w:p>
        </w:tc>
        <w:tc>
          <w:tcPr>
            <w:tcW w:w="1650" w:type="dxa"/>
            <w:noWrap w:val="0"/>
            <w:vAlign w:val="center"/>
          </w:tcPr>
          <w:p w14:paraId="533DB344">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访医生、护士</w:t>
            </w:r>
          </w:p>
        </w:tc>
        <w:tc>
          <w:tcPr>
            <w:tcW w:w="809" w:type="dxa"/>
            <w:noWrap w:val="0"/>
            <w:vAlign w:val="center"/>
          </w:tcPr>
          <w:p w14:paraId="014D862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63B2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2" w:type="dxa"/>
            <w:vMerge w:val="continue"/>
            <w:noWrap w:val="0"/>
            <w:vAlign w:val="center"/>
          </w:tcPr>
          <w:p w14:paraId="3226974C">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7C1607F">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3.严格执行《护工服务内容及收费标准》，禁止随意调费。</w:t>
            </w:r>
          </w:p>
        </w:tc>
        <w:tc>
          <w:tcPr>
            <w:tcW w:w="1650" w:type="dxa"/>
            <w:noWrap w:val="0"/>
            <w:vAlign w:val="center"/>
          </w:tcPr>
          <w:p w14:paraId="20A2C26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访病人或家属</w:t>
            </w:r>
          </w:p>
        </w:tc>
        <w:tc>
          <w:tcPr>
            <w:tcW w:w="809" w:type="dxa"/>
            <w:noWrap w:val="0"/>
            <w:vAlign w:val="center"/>
          </w:tcPr>
          <w:p w14:paraId="046F6594">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293C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2" w:type="dxa"/>
            <w:vMerge w:val="continue"/>
            <w:noWrap w:val="0"/>
            <w:vAlign w:val="center"/>
          </w:tcPr>
          <w:p w14:paraId="32AEF6C0">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0E3D5DAF">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4.护工必须经体检、培训及考核合格后方能上岗。</w:t>
            </w:r>
          </w:p>
        </w:tc>
        <w:tc>
          <w:tcPr>
            <w:tcW w:w="1650" w:type="dxa"/>
            <w:noWrap w:val="0"/>
            <w:vAlign w:val="center"/>
          </w:tcPr>
          <w:p w14:paraId="6FC710D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查看记录</w:t>
            </w:r>
          </w:p>
        </w:tc>
        <w:tc>
          <w:tcPr>
            <w:tcW w:w="809" w:type="dxa"/>
            <w:noWrap w:val="0"/>
            <w:vAlign w:val="center"/>
          </w:tcPr>
          <w:p w14:paraId="1A8270B2">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6CA0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2" w:type="dxa"/>
            <w:vMerge w:val="continue"/>
            <w:noWrap w:val="0"/>
            <w:vAlign w:val="center"/>
          </w:tcPr>
          <w:p w14:paraId="7B19E6EA">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F4B9CAE">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5.严格遵守工作时间，有事提前告知责任护士及病人。</w:t>
            </w:r>
          </w:p>
        </w:tc>
        <w:tc>
          <w:tcPr>
            <w:tcW w:w="1650" w:type="dxa"/>
            <w:noWrap w:val="0"/>
            <w:vAlign w:val="center"/>
          </w:tcPr>
          <w:p w14:paraId="7A782DD2">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访护士</w:t>
            </w:r>
          </w:p>
        </w:tc>
        <w:tc>
          <w:tcPr>
            <w:tcW w:w="809" w:type="dxa"/>
            <w:noWrap w:val="0"/>
            <w:vAlign w:val="center"/>
          </w:tcPr>
          <w:p w14:paraId="09C2539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1194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862" w:type="dxa"/>
            <w:vMerge w:val="restart"/>
            <w:noWrap w:val="0"/>
            <w:vAlign w:val="center"/>
          </w:tcPr>
          <w:p w14:paraId="4D24C46C">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行为</w:t>
            </w:r>
          </w:p>
          <w:p w14:paraId="233A7BC4">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规范</w:t>
            </w:r>
          </w:p>
          <w:p w14:paraId="0A10A576">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13分</w:t>
            </w:r>
          </w:p>
        </w:tc>
        <w:tc>
          <w:tcPr>
            <w:tcW w:w="6294" w:type="dxa"/>
            <w:noWrap w:val="0"/>
            <w:vAlign w:val="center"/>
          </w:tcPr>
          <w:p w14:paraId="12239D64">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1.持证上岗，着统一工作服，佩戴工作牌，规范配戴口罩，不在病房吸烟、喝酒、嬉闹等。</w:t>
            </w:r>
          </w:p>
        </w:tc>
        <w:tc>
          <w:tcPr>
            <w:tcW w:w="1650" w:type="dxa"/>
            <w:noWrap w:val="0"/>
            <w:vAlign w:val="center"/>
          </w:tcPr>
          <w:p w14:paraId="2E2D2B14">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p w14:paraId="37BC0CAD">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访病人或家属</w:t>
            </w:r>
          </w:p>
        </w:tc>
        <w:tc>
          <w:tcPr>
            <w:tcW w:w="809" w:type="dxa"/>
            <w:noWrap w:val="0"/>
            <w:vAlign w:val="center"/>
          </w:tcPr>
          <w:p w14:paraId="160629C4">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5A4E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862" w:type="dxa"/>
            <w:vMerge w:val="continue"/>
            <w:noWrap w:val="0"/>
            <w:vAlign w:val="center"/>
          </w:tcPr>
          <w:p w14:paraId="32DBCBB9">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0A980C26">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2.禁止议论、传播病人隐私及病情，并做好保密工作。</w:t>
            </w:r>
          </w:p>
        </w:tc>
        <w:tc>
          <w:tcPr>
            <w:tcW w:w="1650" w:type="dxa"/>
            <w:noWrap w:val="0"/>
            <w:vAlign w:val="center"/>
          </w:tcPr>
          <w:p w14:paraId="59201794">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访护士或家属</w:t>
            </w:r>
          </w:p>
        </w:tc>
        <w:tc>
          <w:tcPr>
            <w:tcW w:w="809" w:type="dxa"/>
            <w:noWrap w:val="0"/>
            <w:vAlign w:val="center"/>
          </w:tcPr>
          <w:p w14:paraId="7096A2B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1F5E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2" w:type="dxa"/>
            <w:vMerge w:val="continue"/>
            <w:noWrap w:val="0"/>
            <w:vAlign w:val="center"/>
          </w:tcPr>
          <w:p w14:paraId="7FFB44A0">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1C26841">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3.不得损坏、丢失、盗窃医院财物；不得私自收取或索要病人及家属钱物，不占用、乱拿其他食品、物品。</w:t>
            </w:r>
          </w:p>
        </w:tc>
        <w:tc>
          <w:tcPr>
            <w:tcW w:w="1650" w:type="dxa"/>
            <w:noWrap w:val="0"/>
            <w:vAlign w:val="center"/>
          </w:tcPr>
          <w:p w14:paraId="53BAB00B">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访护士、病人或家属</w:t>
            </w:r>
          </w:p>
        </w:tc>
        <w:tc>
          <w:tcPr>
            <w:tcW w:w="809" w:type="dxa"/>
            <w:noWrap w:val="0"/>
            <w:vAlign w:val="center"/>
          </w:tcPr>
          <w:p w14:paraId="2CD2B064">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52A3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2" w:type="dxa"/>
            <w:vMerge w:val="continue"/>
            <w:noWrap w:val="0"/>
            <w:vAlign w:val="center"/>
          </w:tcPr>
          <w:p w14:paraId="68D0D6E2">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269ABBED">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4.使用文明用语、动作轻柔、态度和蔼，禁止与病人及家属发生争吵。</w:t>
            </w:r>
          </w:p>
        </w:tc>
        <w:tc>
          <w:tcPr>
            <w:tcW w:w="1650" w:type="dxa"/>
            <w:noWrap w:val="0"/>
            <w:vAlign w:val="center"/>
          </w:tcPr>
          <w:p w14:paraId="7F73EEA1">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p w14:paraId="2DFBFC1B">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访护士或家属</w:t>
            </w:r>
          </w:p>
        </w:tc>
        <w:tc>
          <w:tcPr>
            <w:tcW w:w="809" w:type="dxa"/>
            <w:noWrap w:val="0"/>
            <w:vAlign w:val="center"/>
          </w:tcPr>
          <w:p w14:paraId="267217F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1EA2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2" w:type="dxa"/>
            <w:vMerge w:val="continue"/>
            <w:noWrap w:val="0"/>
            <w:vAlign w:val="center"/>
          </w:tcPr>
          <w:p w14:paraId="01943D6A">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0F78F385">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5.未经医护同意，不能随意进出治疗室、护士站等工作场所、翻阅病历及其它医疗护理文件。</w:t>
            </w:r>
          </w:p>
        </w:tc>
        <w:tc>
          <w:tcPr>
            <w:tcW w:w="1650" w:type="dxa"/>
            <w:noWrap w:val="0"/>
            <w:vAlign w:val="center"/>
          </w:tcPr>
          <w:p w14:paraId="05B6D725">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p w14:paraId="6C5EB4E4">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访医生、护士</w:t>
            </w:r>
          </w:p>
        </w:tc>
        <w:tc>
          <w:tcPr>
            <w:tcW w:w="809" w:type="dxa"/>
            <w:noWrap w:val="0"/>
            <w:vAlign w:val="center"/>
          </w:tcPr>
          <w:p w14:paraId="32F627A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r>
      <w:tr w14:paraId="4840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2" w:type="dxa"/>
            <w:vMerge w:val="continue"/>
            <w:noWrap w:val="0"/>
            <w:vAlign w:val="center"/>
          </w:tcPr>
          <w:p w14:paraId="62E9D875">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3368C405">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6.坚守岗位，当班时间不得干私活，禁止在本院内兼职。</w:t>
            </w:r>
          </w:p>
        </w:tc>
        <w:tc>
          <w:tcPr>
            <w:tcW w:w="1650" w:type="dxa"/>
            <w:noWrap w:val="0"/>
            <w:vAlign w:val="center"/>
          </w:tcPr>
          <w:p w14:paraId="68A394F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现场查看、走访病人或家属</w:t>
            </w:r>
          </w:p>
        </w:tc>
        <w:tc>
          <w:tcPr>
            <w:tcW w:w="809" w:type="dxa"/>
            <w:noWrap w:val="0"/>
            <w:vAlign w:val="center"/>
          </w:tcPr>
          <w:p w14:paraId="678C433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r>
      <w:tr w14:paraId="41E6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62" w:type="dxa"/>
            <w:vMerge w:val="restart"/>
            <w:noWrap w:val="0"/>
            <w:vAlign w:val="center"/>
          </w:tcPr>
          <w:p w14:paraId="2BAD1383">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w:t>
            </w:r>
          </w:p>
          <w:p w14:paraId="11DFD4ED">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要求</w:t>
            </w:r>
          </w:p>
          <w:p w14:paraId="19D6FC36">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45分</w:t>
            </w:r>
          </w:p>
        </w:tc>
        <w:tc>
          <w:tcPr>
            <w:tcW w:w="6294" w:type="dxa"/>
            <w:noWrap w:val="0"/>
            <w:vAlign w:val="center"/>
          </w:tcPr>
          <w:p w14:paraId="7BFEC7AE">
            <w:pPr>
              <w:spacing w:line="5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1.C级陪护：XX元/次（金额按照合同要求，在入院至出院整个服务期间只收取一次）</w:t>
            </w:r>
          </w:p>
          <w:p w14:paraId="3F03292F">
            <w:pPr>
              <w:tabs>
                <w:tab w:val="left" w:pos="5610"/>
              </w:tabs>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服务对象：8小时内有需求且生活能自理的患者（07:30—16:30）</w:t>
            </w:r>
          </w:p>
          <w:p w14:paraId="30C5F21B">
            <w:pPr>
              <w:tabs>
                <w:tab w:val="left" w:pos="5610"/>
              </w:tabs>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服务方式：一名护工为多名患者在约定时间内提供以下走动式服务。</w:t>
            </w:r>
          </w:p>
          <w:p w14:paraId="050C2858">
            <w:pPr>
              <w:tabs>
                <w:tab w:val="left" w:pos="5610"/>
              </w:tabs>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（1）家属不在时，为住院病人打饭、热饭、打开水、清洗餐具。</w:t>
            </w:r>
          </w:p>
          <w:p w14:paraId="342936D1">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（2）为不方便的病人补交住院费，到医保科办理医保录入。</w:t>
            </w:r>
          </w:p>
          <w:p w14:paraId="6E59649C">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（3）定时巡房为输液或卧床病人提供生活协助服务；为病人购买生活用品。</w:t>
            </w:r>
          </w:p>
          <w:p w14:paraId="6CB4C0E0">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（4）协助病人整理生活用品，并帮助入院、出院病人接送行李。</w:t>
            </w:r>
          </w:p>
        </w:tc>
        <w:tc>
          <w:tcPr>
            <w:tcW w:w="1650" w:type="dxa"/>
            <w:noWrap w:val="0"/>
            <w:vAlign w:val="center"/>
          </w:tcPr>
          <w:p w14:paraId="3D198C5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现场查看、走访护士、病人或家属</w:t>
            </w:r>
          </w:p>
        </w:tc>
        <w:tc>
          <w:tcPr>
            <w:tcW w:w="809" w:type="dxa"/>
            <w:noWrap w:val="0"/>
            <w:vAlign w:val="center"/>
          </w:tcPr>
          <w:p w14:paraId="75D12F2B">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r>
      <w:tr w14:paraId="0163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62" w:type="dxa"/>
            <w:vMerge w:val="continue"/>
            <w:noWrap w:val="0"/>
            <w:vAlign w:val="center"/>
          </w:tcPr>
          <w:p w14:paraId="01CFDFC5">
            <w:pP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4EFAA547">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2.B级陪护：XX元/天（金额按照合同要求）</w:t>
            </w:r>
          </w:p>
          <w:p w14:paraId="6D0C5600">
            <w:pPr>
              <w:tabs>
                <w:tab w:val="left" w:pos="5610"/>
              </w:tabs>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服务对象：24小时内阶段性照护且生活部分自理的患者。</w:t>
            </w:r>
          </w:p>
          <w:p w14:paraId="469673EA">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服务方式：一名护工为两名患者在约定时间内提供以下服务。</w:t>
            </w:r>
          </w:p>
          <w:p w14:paraId="45307238">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（1）涵盖C级照护范围（1-4）条内容。</w:t>
            </w:r>
          </w:p>
          <w:p w14:paraId="6A3FD3C7">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（2）帮助病人洗脸、漱口、梳头、擦身、更换污衣裤。</w:t>
            </w:r>
          </w:p>
          <w:p w14:paraId="394FE0EE">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（3）为病人端送饭菜并协助病人用餐。</w:t>
            </w:r>
          </w:p>
          <w:p w14:paraId="1C790A93">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（4）扶病人上厕所并及时清洗干净便盆、尿壶。</w:t>
            </w:r>
          </w:p>
          <w:p w14:paraId="15EFB2B0">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（5）在医护人员指导下帮助病人翻身、拍背、更换卧位。</w:t>
            </w:r>
          </w:p>
        </w:tc>
        <w:tc>
          <w:tcPr>
            <w:tcW w:w="1650" w:type="dxa"/>
            <w:noWrap w:val="0"/>
            <w:vAlign w:val="center"/>
          </w:tcPr>
          <w:p w14:paraId="05C5DCB5">
            <w:pPr>
              <w:jc w:val="center"/>
              <w:rPr>
                <w:rFonts w:hint="eastAsia" w:ascii="宋体" w:hAnsi="宋体" w:eastAsia="宋体" w:cs="宋体"/>
                <w:color w:val="auto"/>
                <w:kern w:val="2"/>
                <w:sz w:val="24"/>
                <w:szCs w:val="24"/>
                <w:highlight w:val="none"/>
                <w:lang w:val="en-US" w:eastAsia="zh-CN" w:bidi="ar-SA"/>
              </w:rPr>
            </w:pPr>
          </w:p>
          <w:p w14:paraId="64BCF797">
            <w:pPr>
              <w:jc w:val="center"/>
              <w:rPr>
                <w:rFonts w:hint="eastAsia" w:ascii="宋体" w:hAnsi="宋体" w:eastAsia="宋体" w:cs="宋体"/>
                <w:color w:val="auto"/>
                <w:kern w:val="2"/>
                <w:sz w:val="24"/>
                <w:szCs w:val="24"/>
                <w:highlight w:val="none"/>
                <w:lang w:val="en-US" w:eastAsia="zh-CN" w:bidi="ar-SA"/>
              </w:rPr>
            </w:pPr>
          </w:p>
          <w:p w14:paraId="259F6171">
            <w:pPr>
              <w:jc w:val="center"/>
              <w:rPr>
                <w:rFonts w:hint="eastAsia" w:ascii="宋体" w:hAnsi="宋体" w:eastAsia="宋体" w:cs="宋体"/>
                <w:color w:val="auto"/>
                <w:kern w:val="2"/>
                <w:sz w:val="24"/>
                <w:szCs w:val="24"/>
                <w:highlight w:val="none"/>
                <w:lang w:val="en-US" w:eastAsia="zh-CN" w:bidi="ar-SA"/>
              </w:rPr>
            </w:pPr>
          </w:p>
          <w:p w14:paraId="7232C3B9">
            <w:pPr>
              <w:jc w:val="center"/>
              <w:rPr>
                <w:rFonts w:hint="eastAsia" w:ascii="宋体" w:hAnsi="宋体" w:eastAsia="宋体" w:cs="宋体"/>
                <w:color w:val="auto"/>
                <w:kern w:val="2"/>
                <w:sz w:val="24"/>
                <w:szCs w:val="24"/>
                <w:highlight w:val="none"/>
                <w:lang w:val="en-US" w:eastAsia="zh-CN" w:bidi="ar-SA"/>
              </w:rPr>
            </w:pPr>
          </w:p>
          <w:p w14:paraId="7E382CCD">
            <w:pPr>
              <w:jc w:val="center"/>
              <w:rPr>
                <w:rFonts w:hint="eastAsia" w:ascii="宋体" w:hAnsi="宋体" w:eastAsia="宋体" w:cs="宋体"/>
                <w:color w:val="auto"/>
                <w:kern w:val="2"/>
                <w:sz w:val="24"/>
                <w:szCs w:val="24"/>
                <w:highlight w:val="none"/>
                <w:lang w:val="en-US" w:eastAsia="zh-CN" w:bidi="ar-SA"/>
              </w:rPr>
            </w:pPr>
          </w:p>
          <w:p w14:paraId="76069CF0">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现场查看、走访护士、病人或家属</w:t>
            </w:r>
          </w:p>
        </w:tc>
        <w:tc>
          <w:tcPr>
            <w:tcW w:w="809" w:type="dxa"/>
            <w:noWrap w:val="0"/>
            <w:vAlign w:val="center"/>
          </w:tcPr>
          <w:p w14:paraId="6365BC0C">
            <w:pPr>
              <w:jc w:val="center"/>
              <w:rPr>
                <w:rFonts w:hint="eastAsia" w:ascii="宋体" w:hAnsi="宋体" w:eastAsia="宋体" w:cs="宋体"/>
                <w:color w:val="auto"/>
                <w:kern w:val="2"/>
                <w:sz w:val="24"/>
                <w:szCs w:val="24"/>
                <w:highlight w:val="none"/>
                <w:lang w:val="en-US" w:eastAsia="zh-CN" w:bidi="ar-SA"/>
              </w:rPr>
            </w:pPr>
          </w:p>
          <w:p w14:paraId="7F70EB9B">
            <w:pPr>
              <w:jc w:val="center"/>
              <w:rPr>
                <w:rFonts w:hint="eastAsia" w:ascii="宋体" w:hAnsi="宋体" w:eastAsia="宋体" w:cs="宋体"/>
                <w:color w:val="auto"/>
                <w:kern w:val="2"/>
                <w:sz w:val="24"/>
                <w:szCs w:val="24"/>
                <w:highlight w:val="none"/>
                <w:lang w:val="en-US" w:eastAsia="zh-CN" w:bidi="ar-SA"/>
              </w:rPr>
            </w:pPr>
          </w:p>
          <w:p w14:paraId="33581E26">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p w14:paraId="06C446D3">
            <w:pPr>
              <w:pStyle w:val="242"/>
              <w:rPr>
                <w:rFonts w:hint="eastAsia" w:ascii="宋体" w:hAnsi="宋体" w:eastAsia="宋体" w:cs="宋体"/>
                <w:color w:val="auto"/>
                <w:kern w:val="2"/>
                <w:sz w:val="24"/>
                <w:szCs w:val="24"/>
                <w:highlight w:val="none"/>
                <w:lang w:val="en-US" w:eastAsia="zh-CN" w:bidi="ar-SA"/>
              </w:rPr>
            </w:pPr>
          </w:p>
          <w:p w14:paraId="294A97D5">
            <w:pPr>
              <w:pStyle w:val="242"/>
              <w:rPr>
                <w:rFonts w:hint="eastAsia" w:ascii="宋体" w:hAnsi="宋体" w:eastAsia="宋体" w:cs="宋体"/>
                <w:color w:val="auto"/>
                <w:kern w:val="2"/>
                <w:sz w:val="24"/>
                <w:szCs w:val="24"/>
                <w:highlight w:val="none"/>
                <w:lang w:val="en-US" w:eastAsia="zh-CN" w:bidi="ar-SA"/>
              </w:rPr>
            </w:pPr>
          </w:p>
        </w:tc>
      </w:tr>
      <w:tr w14:paraId="1AF5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862" w:type="dxa"/>
            <w:vMerge w:val="continue"/>
            <w:noWrap w:val="0"/>
            <w:vAlign w:val="center"/>
          </w:tcPr>
          <w:p w14:paraId="04466EA7">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487F403">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3.A级陪护： XX元/天（金额按照合同要求）</w:t>
            </w:r>
          </w:p>
          <w:p w14:paraId="11F090BE">
            <w:pPr>
              <w:ind w:left="252" w:leftChars="90"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服务对象：24小时需连续照护且生活完全不能自理的患者。</w:t>
            </w:r>
          </w:p>
          <w:p w14:paraId="425BB0EE">
            <w:pPr>
              <w:ind w:left="238" w:leftChars="85"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服务方式：一名护工为一名患者在约定时间内提供以下服务。</w:t>
            </w:r>
          </w:p>
          <w:p w14:paraId="71007FC2">
            <w:pPr>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（1）涵盖B级照护范围（1-3）条内容。</w:t>
            </w:r>
          </w:p>
          <w:p w14:paraId="2334888F">
            <w:pPr>
              <w:pStyle w:val="22"/>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（2）帮助病人处理大小便，随脏随换随洗，并清洗贴身衣裤。</w:t>
            </w:r>
          </w:p>
        </w:tc>
        <w:tc>
          <w:tcPr>
            <w:tcW w:w="1650" w:type="dxa"/>
            <w:noWrap w:val="0"/>
            <w:vAlign w:val="center"/>
          </w:tcPr>
          <w:p w14:paraId="7CFF488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现场查看、走访护士、病人或家属</w:t>
            </w:r>
          </w:p>
        </w:tc>
        <w:tc>
          <w:tcPr>
            <w:tcW w:w="809" w:type="dxa"/>
            <w:noWrap w:val="0"/>
            <w:vAlign w:val="center"/>
          </w:tcPr>
          <w:p w14:paraId="102BB9D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r>
      <w:tr w14:paraId="165C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862" w:type="dxa"/>
            <w:vMerge w:val="continue"/>
            <w:noWrap w:val="0"/>
            <w:vAlign w:val="center"/>
          </w:tcPr>
          <w:p w14:paraId="550A7703">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2496D529">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 护工不准执行任何护理操作，如换液体、吸痰、拔管，但有责任随时观察是否通畅、脱落，发现问题及时报告护士。</w:t>
            </w:r>
          </w:p>
        </w:tc>
        <w:tc>
          <w:tcPr>
            <w:tcW w:w="1650" w:type="dxa"/>
            <w:noWrap w:val="0"/>
            <w:vAlign w:val="center"/>
          </w:tcPr>
          <w:p w14:paraId="58B0188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现场查看、访护士</w:t>
            </w:r>
          </w:p>
        </w:tc>
        <w:tc>
          <w:tcPr>
            <w:tcW w:w="809" w:type="dxa"/>
            <w:noWrap w:val="0"/>
            <w:vAlign w:val="center"/>
          </w:tcPr>
          <w:p w14:paraId="139207A2">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2CEA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62" w:type="dxa"/>
            <w:vMerge w:val="continue"/>
            <w:noWrap w:val="0"/>
            <w:vAlign w:val="center"/>
          </w:tcPr>
          <w:p w14:paraId="15AF6839">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1093D29">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5.在护士长及责任护士指导下，对照护病人采取适当安全防护措施，严防坠床、跌倒、烫伤等事件发生。</w:t>
            </w:r>
          </w:p>
        </w:tc>
        <w:tc>
          <w:tcPr>
            <w:tcW w:w="1650" w:type="dxa"/>
            <w:noWrap w:val="0"/>
            <w:vAlign w:val="center"/>
          </w:tcPr>
          <w:p w14:paraId="71B15867">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现场查看、访护士</w:t>
            </w:r>
          </w:p>
        </w:tc>
        <w:tc>
          <w:tcPr>
            <w:tcW w:w="809" w:type="dxa"/>
            <w:noWrap w:val="0"/>
            <w:vAlign w:val="center"/>
          </w:tcPr>
          <w:p w14:paraId="17674AD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74A6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62" w:type="dxa"/>
            <w:vMerge w:val="continue"/>
            <w:noWrap w:val="0"/>
            <w:vAlign w:val="center"/>
          </w:tcPr>
          <w:p w14:paraId="2648990A">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448A45D8">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6.收取护工服务费必须征得病人或家属同意，并签订护工同意书。</w:t>
            </w:r>
          </w:p>
        </w:tc>
        <w:tc>
          <w:tcPr>
            <w:tcW w:w="1650" w:type="dxa"/>
            <w:noWrap w:val="0"/>
            <w:vAlign w:val="center"/>
          </w:tcPr>
          <w:p w14:paraId="0900D5B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次月5日前</w:t>
            </w:r>
          </w:p>
        </w:tc>
        <w:tc>
          <w:tcPr>
            <w:tcW w:w="809" w:type="dxa"/>
            <w:noWrap w:val="0"/>
            <w:vAlign w:val="center"/>
          </w:tcPr>
          <w:p w14:paraId="3AA7896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5C4E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62" w:type="dxa"/>
            <w:vMerge w:val="restart"/>
            <w:noWrap w:val="0"/>
            <w:vAlign w:val="center"/>
          </w:tcPr>
          <w:p w14:paraId="6390EBB9">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床单位要求</w:t>
            </w:r>
          </w:p>
          <w:p w14:paraId="2952F34F">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20分</w:t>
            </w:r>
          </w:p>
        </w:tc>
        <w:tc>
          <w:tcPr>
            <w:tcW w:w="6294" w:type="dxa"/>
            <w:noWrap w:val="0"/>
            <w:vAlign w:val="center"/>
          </w:tcPr>
          <w:p w14:paraId="29351C52">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1.按要求做好照护病人晨、午、晚间护理，保证床单位物品干净、整洁，摆放整齐。</w:t>
            </w:r>
          </w:p>
        </w:tc>
        <w:tc>
          <w:tcPr>
            <w:tcW w:w="1650" w:type="dxa"/>
            <w:noWrap w:val="0"/>
            <w:vAlign w:val="center"/>
          </w:tcPr>
          <w:p w14:paraId="65C632A1">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67CDE24E">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5795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62" w:type="dxa"/>
            <w:vMerge w:val="continue"/>
            <w:noWrap w:val="0"/>
            <w:vAlign w:val="center"/>
          </w:tcPr>
          <w:p w14:paraId="54A96046">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7027646">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2.床单、被套平整、干燥，四角紧扎，无血迹，无尿迹，无污渍，床上无多余物品，无棉絮外露。</w:t>
            </w:r>
          </w:p>
        </w:tc>
        <w:tc>
          <w:tcPr>
            <w:tcW w:w="1650" w:type="dxa"/>
            <w:noWrap w:val="0"/>
            <w:vAlign w:val="center"/>
          </w:tcPr>
          <w:p w14:paraId="54E2E3C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014B1A2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294D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62" w:type="dxa"/>
            <w:vMerge w:val="continue"/>
            <w:noWrap w:val="0"/>
            <w:vAlign w:val="center"/>
          </w:tcPr>
          <w:p w14:paraId="72D3EB5E">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6A2897AB">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3.床旁柜内、柜外清洁、物品摆放整齐，便于取拿。</w:t>
            </w:r>
          </w:p>
        </w:tc>
        <w:tc>
          <w:tcPr>
            <w:tcW w:w="1650" w:type="dxa"/>
            <w:noWrap w:val="0"/>
            <w:vAlign w:val="center"/>
          </w:tcPr>
          <w:p w14:paraId="45043765">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547A131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4A1C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62" w:type="dxa"/>
            <w:vMerge w:val="continue"/>
            <w:noWrap w:val="0"/>
            <w:vAlign w:val="center"/>
          </w:tcPr>
          <w:p w14:paraId="0118D83C">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1CAD22D8">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4.床下无杂物，物品摆放整齐，符合要求。</w:t>
            </w:r>
          </w:p>
        </w:tc>
        <w:tc>
          <w:tcPr>
            <w:tcW w:w="1650" w:type="dxa"/>
            <w:noWrap w:val="0"/>
            <w:vAlign w:val="center"/>
          </w:tcPr>
          <w:p w14:paraId="1568697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0772953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w:t>
            </w:r>
          </w:p>
        </w:tc>
      </w:tr>
      <w:tr w14:paraId="0C04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62" w:type="dxa"/>
            <w:vMerge w:val="restart"/>
            <w:noWrap w:val="0"/>
            <w:vAlign w:val="center"/>
          </w:tcPr>
          <w:p w14:paraId="43CBC47D">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院感防控</w:t>
            </w:r>
          </w:p>
          <w:p w14:paraId="55556F09">
            <w:pPr>
              <w:pStyle w:val="242"/>
              <w:ind w:firstLine="52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12分</w:t>
            </w:r>
          </w:p>
        </w:tc>
        <w:tc>
          <w:tcPr>
            <w:tcW w:w="6294" w:type="dxa"/>
            <w:noWrap w:val="0"/>
            <w:vAlign w:val="center"/>
          </w:tcPr>
          <w:p w14:paraId="64EB2D78">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 协助病员加强病房通风，让室内经常开窗通风。</w:t>
            </w:r>
          </w:p>
        </w:tc>
        <w:tc>
          <w:tcPr>
            <w:tcW w:w="1650" w:type="dxa"/>
            <w:noWrap w:val="0"/>
            <w:vAlign w:val="center"/>
          </w:tcPr>
          <w:p w14:paraId="7CB77A16">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p w14:paraId="57BEB749">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访患方</w:t>
            </w:r>
          </w:p>
        </w:tc>
        <w:tc>
          <w:tcPr>
            <w:tcW w:w="809" w:type="dxa"/>
            <w:noWrap w:val="0"/>
            <w:vAlign w:val="center"/>
          </w:tcPr>
          <w:p w14:paraId="72776C6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r>
      <w:tr w14:paraId="29DC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62" w:type="dxa"/>
            <w:vMerge w:val="continue"/>
            <w:noWrap w:val="0"/>
            <w:vAlign w:val="center"/>
          </w:tcPr>
          <w:p w14:paraId="4886C542">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775D4668">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2.正确执行手卫生。</w:t>
            </w:r>
          </w:p>
        </w:tc>
        <w:tc>
          <w:tcPr>
            <w:tcW w:w="1650" w:type="dxa"/>
            <w:noWrap w:val="0"/>
            <w:vAlign w:val="center"/>
          </w:tcPr>
          <w:p w14:paraId="6B0EFF40">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50E9888B">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r>
      <w:tr w14:paraId="3837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62" w:type="dxa"/>
            <w:vMerge w:val="continue"/>
            <w:noWrap w:val="0"/>
            <w:vAlign w:val="center"/>
          </w:tcPr>
          <w:p w14:paraId="2488C931">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5A24FD98">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3.能正确处置生活垃圾、医疗垃圾。</w:t>
            </w:r>
          </w:p>
        </w:tc>
        <w:tc>
          <w:tcPr>
            <w:tcW w:w="1650" w:type="dxa"/>
            <w:noWrap w:val="0"/>
            <w:vAlign w:val="center"/>
          </w:tcPr>
          <w:p w14:paraId="61BCBB6F">
            <w:pPr>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p w14:paraId="3C4CFBEE">
            <w:pPr>
              <w:jc w:val="center"/>
              <w:rPr>
                <w:rFonts w:hint="eastAsia" w:ascii="宋体" w:hAnsi="宋体" w:eastAsia="宋体" w:cs="宋体"/>
                <w:color w:val="auto"/>
                <w:kern w:val="2"/>
                <w:sz w:val="24"/>
                <w:szCs w:val="24"/>
                <w:highlight w:val="none"/>
                <w:lang w:val="en-US" w:eastAsia="zh-CN" w:bidi="ar-SA"/>
              </w:rPr>
            </w:pPr>
          </w:p>
        </w:tc>
        <w:tc>
          <w:tcPr>
            <w:tcW w:w="809" w:type="dxa"/>
            <w:noWrap w:val="0"/>
            <w:vAlign w:val="center"/>
          </w:tcPr>
          <w:p w14:paraId="02E71C78">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r>
      <w:tr w14:paraId="13ED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62" w:type="dxa"/>
            <w:vMerge w:val="continue"/>
            <w:noWrap w:val="0"/>
            <w:vAlign w:val="center"/>
          </w:tcPr>
          <w:p w14:paraId="50CABFE4">
            <w:pPr>
              <w:jc w:val="center"/>
              <w:rPr>
                <w:rFonts w:hint="eastAsia" w:ascii="宋体" w:hAnsi="宋体" w:eastAsia="宋体" w:cs="宋体"/>
                <w:color w:val="auto"/>
                <w:kern w:val="2"/>
                <w:sz w:val="24"/>
                <w:szCs w:val="24"/>
                <w:highlight w:val="none"/>
                <w:lang w:val="en-US" w:eastAsia="zh-CN" w:bidi="ar-SA"/>
              </w:rPr>
            </w:pPr>
          </w:p>
        </w:tc>
        <w:tc>
          <w:tcPr>
            <w:tcW w:w="6294" w:type="dxa"/>
            <w:noWrap w:val="0"/>
            <w:vAlign w:val="center"/>
          </w:tcPr>
          <w:p w14:paraId="6BD1C69C">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4.不串门、不扎堆聊天，不造谣、不传谣、不信谣。</w:t>
            </w:r>
          </w:p>
        </w:tc>
        <w:tc>
          <w:tcPr>
            <w:tcW w:w="1650" w:type="dxa"/>
            <w:noWrap w:val="0"/>
            <w:vAlign w:val="center"/>
          </w:tcPr>
          <w:p w14:paraId="1EC2E5C3">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现场查看</w:t>
            </w:r>
          </w:p>
        </w:tc>
        <w:tc>
          <w:tcPr>
            <w:tcW w:w="809" w:type="dxa"/>
            <w:noWrap w:val="0"/>
            <w:vAlign w:val="center"/>
          </w:tcPr>
          <w:p w14:paraId="6BC50822">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p>
        </w:tc>
      </w:tr>
    </w:tbl>
    <w:p w14:paraId="656ED502">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备注：1.陪护护工质量检查标准及评分细则总分：100分。</w:t>
      </w:r>
    </w:p>
    <w:p w14:paraId="7C7ED84F">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2.应得总分=总分-未涉及项目分；实得总分=涉及项目得分总和。</w:t>
      </w:r>
    </w:p>
    <w:p w14:paraId="73A930C9">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3.陪护护工质量得分率=实得总分/应得总分×100%。</w:t>
      </w:r>
    </w:p>
    <w:p w14:paraId="4774E36E">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4. </w:t>
      </w:r>
      <w:r>
        <w:rPr>
          <w:rFonts w:hint="eastAsia" w:ascii="宋体" w:hAnsi="宋体" w:cs="宋体"/>
          <w:color w:val="auto"/>
          <w:kern w:val="2"/>
          <w:sz w:val="24"/>
          <w:szCs w:val="24"/>
          <w:highlight w:val="none"/>
          <w:lang w:val="en-US" w:eastAsia="zh-CN" w:bidi="ar-SA"/>
        </w:rPr>
        <w:t>目标值≥90%，每低1%扣100元，以此类推；考核结果纳入当月管理费处罚范畴。</w:t>
      </w:r>
    </w:p>
    <w:p w14:paraId="136E01D1">
      <w:pPr>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 投诉至院内（医患沟通办），处罚500元/次；投诉至县卫健委，处罚1000元/次；投诉至县委、县政府，处罚2000元/次；投诉至市级，处罚5000元/次。当月连续2次有效投诉或被媒体曝光1次，以及在协议期限内累计3次有效投诉或被媒体曝光2次的，甲方有权单方终止合同。</w:t>
      </w:r>
    </w:p>
    <w:p w14:paraId="5BC7941E">
      <w:pPr>
        <w:pStyle w:val="242"/>
        <w:ind w:firstLine="640" w:firstLineChars="200"/>
        <w:outlineLvl w:val="0"/>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br w:type="page"/>
      </w:r>
    </w:p>
    <w:p w14:paraId="2D17B8EA">
      <w:pPr>
        <w:pStyle w:val="242"/>
        <w:ind w:firstLine="642" w:firstLineChars="200"/>
        <w:outlineLvl w:val="0"/>
        <w:rPr>
          <w:rFonts w:hint="eastAsia" w:ascii="宋体" w:hAnsi="宋体" w:eastAsia="宋体" w:cs="宋体"/>
          <w:b/>
          <w:color w:val="auto"/>
          <w:sz w:val="28"/>
          <w:szCs w:val="28"/>
          <w:highlight w:val="none"/>
        </w:rPr>
      </w:pPr>
      <w:r>
        <w:rPr>
          <w:rFonts w:hint="eastAsia" w:ascii="宋体" w:hAnsi="宋体" w:eastAsia="宋体" w:cs="宋体"/>
          <w:b/>
          <w:bCs w:val="0"/>
          <w:color w:val="auto"/>
          <w:sz w:val="30"/>
          <w:szCs w:val="30"/>
          <w:highlight w:val="none"/>
          <w:lang w:val="en-US" w:eastAsia="zh-CN"/>
        </w:rPr>
        <w:t>附件4：</w:t>
      </w:r>
    </w:p>
    <w:p w14:paraId="3CB542A8">
      <w:pPr>
        <w:spacing w:line="480" w:lineRule="exact"/>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住院病人对护工服务满意度调查表</w:t>
      </w:r>
    </w:p>
    <w:p w14:paraId="63DD0879">
      <w:pPr>
        <w:pStyle w:val="244"/>
        <w:keepNext w:val="0"/>
        <w:keepLines w:val="0"/>
        <w:pageBreakBefore w:val="0"/>
        <w:widowControl/>
        <w:kinsoku/>
        <w:wordWrap/>
        <w:overflowPunct/>
        <w:topLinePunct w:val="0"/>
        <w:autoSpaceDE/>
        <w:autoSpaceDN/>
        <w:bidi w:val="0"/>
        <w:adjustRightInd w:val="0"/>
        <w:snapToGrid w:val="0"/>
        <w:spacing w:line="44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科室：                  床号：               </w:t>
      </w:r>
      <w:r>
        <w:rPr>
          <w:rFonts w:hint="eastAsia" w:ascii="宋体" w:hAnsi="宋体" w:cs="宋体"/>
          <w:color w:val="auto"/>
          <w:kern w:val="2"/>
          <w:sz w:val="24"/>
          <w:szCs w:val="24"/>
          <w:highlight w:val="none"/>
          <w:lang w:val="en-US" w:eastAsia="zh-CN" w:bidi="ar-SA"/>
        </w:rPr>
        <w:t>调查日期       年      月      日</w:t>
      </w:r>
    </w:p>
    <w:p w14:paraId="40C0B1A7">
      <w:pPr>
        <w:pStyle w:val="244"/>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为全面了解并提升护工护理服务质量、改进工作，烦请您根据住院期间的亲身感受，在以下问题中勾选最能反映您真实看法的答案。</w:t>
      </w:r>
      <w:r>
        <w:rPr>
          <w:rFonts w:hint="eastAsia" w:ascii="宋体" w:hAnsi="宋体" w:eastAsia="宋体" w:cs="宋体"/>
          <w:color w:val="auto"/>
          <w:kern w:val="2"/>
          <w:sz w:val="24"/>
          <w:szCs w:val="24"/>
          <w:highlight w:val="none"/>
          <w:lang w:val="en-US" w:eastAsia="zh-CN" w:bidi="ar-SA"/>
        </w:rPr>
        <w:t>请在选择的问题上打“√”谢谢合作！</w:t>
      </w:r>
    </w:p>
    <w:p w14:paraId="531C1453">
      <w:pPr>
        <w:pStyle w:val="244"/>
        <w:keepNext w:val="0"/>
        <w:keepLines w:val="0"/>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一、您初入病房时，是否得到护工员和蔼热情的接待</w:t>
      </w:r>
    </w:p>
    <w:p w14:paraId="235C09BB">
      <w:pPr>
        <w:pStyle w:val="244"/>
        <w:keepNext w:val="0"/>
        <w:keepLines w:val="0"/>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A.热情（10分）     B.一般（8分）       C.冷淡（0分）</w:t>
      </w:r>
    </w:p>
    <w:p w14:paraId="13E9DCD8">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二、护工员是否给您介绍病房环境和自我介绍</w:t>
      </w:r>
    </w:p>
    <w:p w14:paraId="57AB54BA">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A.介绍（10分）      B.部分介绍（8分）   C.未介绍（0分）</w:t>
      </w:r>
    </w:p>
    <w:p w14:paraId="05C42422">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三、您在住院期间，护工员是否主动告知护工级别及服务内容</w:t>
      </w:r>
    </w:p>
    <w:p w14:paraId="75291C41">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A.有（10分）        B.有时有（8分）     C.没有（0分）</w:t>
      </w:r>
    </w:p>
    <w:p w14:paraId="62C09F1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四、护工员是否每天为您打扫床单元</w:t>
      </w:r>
    </w:p>
    <w:p w14:paraId="15FB3AA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A.有（10分）        B、有时有（8分）     C、没有（0分）</w:t>
      </w:r>
    </w:p>
    <w:p w14:paraId="102351C7">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五、您对护工员的服务态度是否满意</w:t>
      </w:r>
    </w:p>
    <w:p w14:paraId="13CCFD8E">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A.满意（10分）      B、较满意（8分）     C、不满意（0分）</w:t>
      </w:r>
    </w:p>
    <w:p w14:paraId="7E092E46">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六、您入院后，需做各种检查时，护工员是否将检查项目、检查时间及检查前准备告知到位</w:t>
      </w:r>
    </w:p>
    <w:p w14:paraId="08FA0934">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A.告知（10分）      B.有时告知（8分）   C.不告知（0分）</w:t>
      </w:r>
    </w:p>
    <w:p w14:paraId="6A3F6012">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七、当您遇到问题告诉护工员时，能否及时得到护工员的帮助</w:t>
      </w:r>
    </w:p>
    <w:p w14:paraId="63A77AAD">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A.能（10分）        B.有时能（8分）     C.不能（0分）</w:t>
      </w:r>
      <w:r>
        <w:rPr>
          <w:rFonts w:hint="eastAsia" w:ascii="宋体" w:hAnsi="宋体" w:eastAsia="宋体" w:cs="宋体"/>
          <w:color w:val="auto"/>
          <w:kern w:val="2"/>
          <w:sz w:val="24"/>
          <w:szCs w:val="24"/>
          <w:highlight w:val="none"/>
          <w:lang w:val="en-US" w:eastAsia="zh-CN" w:bidi="ar-SA"/>
        </w:rPr>
        <w:t xml:space="preserve">     </w:t>
      </w:r>
      <w:r>
        <w:rPr>
          <w:rFonts w:hint="eastAsia" w:ascii="宋体" w:hAnsi="宋体" w:cs="宋体"/>
          <w:color w:val="auto"/>
          <w:kern w:val="2"/>
          <w:sz w:val="24"/>
          <w:szCs w:val="24"/>
          <w:highlight w:val="none"/>
          <w:lang w:val="en-US" w:eastAsia="zh-CN" w:bidi="ar-SA"/>
        </w:rPr>
        <w:t>C、不能（0分）</w:t>
      </w:r>
      <w:r>
        <w:rPr>
          <w:rFonts w:hint="eastAsia" w:ascii="宋体" w:hAnsi="宋体" w:eastAsia="宋体" w:cs="宋体"/>
          <w:color w:val="auto"/>
          <w:kern w:val="2"/>
          <w:sz w:val="24"/>
          <w:szCs w:val="24"/>
          <w:highlight w:val="none"/>
          <w:lang w:val="en-US" w:eastAsia="zh-CN" w:bidi="ar-SA"/>
        </w:rPr>
        <w:t>（0分）</w:t>
      </w:r>
    </w:p>
    <w:p w14:paraId="3244D9F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八、您在住院期间护工员是否主动协助修剪指甲、刮胡子</w:t>
      </w:r>
    </w:p>
    <w:p w14:paraId="2D647AA6">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A.满意（10分）      B、较满意（8分）     C、不满意（0分） </w:t>
      </w:r>
    </w:p>
    <w:p w14:paraId="3703AE92">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九、您在住院期间，护工员是否每天整理病床单元及床头柜</w:t>
      </w:r>
    </w:p>
    <w:p w14:paraId="6F7E1045">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A.好（10分）        B、较好（8分）       C、差（0分）</w:t>
      </w:r>
    </w:p>
    <w:p w14:paraId="3821A07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十、护工员是否每天主动协助打饭、用餐</w:t>
      </w:r>
    </w:p>
    <w:p w14:paraId="7C2D502C">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A.有（10分）        B、有时有（8分）     C、没有（0分） </w:t>
      </w:r>
    </w:p>
    <w:p w14:paraId="76A39E2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w:t>
      </w:r>
      <w:r>
        <w:rPr>
          <w:rFonts w:hint="eastAsia" w:ascii="宋体" w:hAnsi="宋体" w:cs="宋体"/>
          <w:color w:val="auto"/>
          <w:kern w:val="2"/>
          <w:sz w:val="24"/>
          <w:szCs w:val="24"/>
          <w:highlight w:val="none"/>
          <w:lang w:val="en-US" w:eastAsia="zh-CN" w:bidi="ar-SA"/>
        </w:rPr>
        <w:t>请您对陪护公司护工工作提出宝贵的意见和建议。</w:t>
      </w:r>
    </w:p>
    <w:p w14:paraId="17ACB6FB">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w:t>
      </w:r>
      <w:r>
        <w:rPr>
          <w:rFonts w:hint="eastAsia" w:ascii="宋体" w:hAnsi="宋体" w:cs="宋体"/>
          <w:color w:val="auto"/>
          <w:kern w:val="2"/>
          <w:sz w:val="24"/>
          <w:szCs w:val="24"/>
          <w:highlight w:val="none"/>
          <w:lang w:val="en-US" w:eastAsia="zh-CN" w:bidi="ar-SA"/>
        </w:rPr>
        <w:t>请您填写最满意的护工员及最不满意的护工员：</w:t>
      </w:r>
    </w:p>
    <w:p w14:paraId="31C257CE">
      <w:pPr>
        <w:pStyle w:val="242"/>
        <w:ind w:firstLine="642" w:firstLineChars="200"/>
        <w:outlineLvl w:val="0"/>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val="0"/>
          <w:color w:val="auto"/>
          <w:sz w:val="30"/>
          <w:szCs w:val="30"/>
          <w:highlight w:val="none"/>
          <w:lang w:val="en-US" w:eastAsia="zh-CN"/>
        </w:rPr>
        <w:t>附件5：</w:t>
      </w:r>
    </w:p>
    <w:p w14:paraId="165E3F69">
      <w:pPr>
        <w:pStyle w:val="244"/>
        <w:spacing w:after="0" w:line="480" w:lineRule="exact"/>
        <w:ind w:left="0" w:leftChars="0" w:firstLine="602" w:firstLineChars="200"/>
        <w:jc w:val="center"/>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科室医护人员对护工满意度调查表</w:t>
      </w:r>
    </w:p>
    <w:p w14:paraId="61D531F4">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科室：</w:t>
      </w:r>
    </w:p>
    <w:p w14:paraId="576A0A4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能够成为巫山县中医院的工作伙伴，与您朝夕相处，是我们的荣幸。我们将倍加珍惜这个机会，全力为护理工作提供优质的护工服务。</w:t>
      </w:r>
      <w:r>
        <w:rPr>
          <w:rFonts w:hint="eastAsia" w:ascii="宋体" w:hAnsi="宋体" w:eastAsia="宋体" w:cs="宋体"/>
          <w:color w:val="auto"/>
          <w:kern w:val="2"/>
          <w:sz w:val="24"/>
          <w:szCs w:val="24"/>
          <w:highlight w:val="none"/>
          <w:lang w:val="en-US" w:eastAsia="zh-CN" w:bidi="ar-SA"/>
        </w:rPr>
        <w:t>我们希望，在我们为您服务过程中，随时都能得到您及各位同事的指导和支持，使我们的服务日臻完美。谢谢您！</w:t>
      </w:r>
    </w:p>
    <w:p w14:paraId="064662C3">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1.护工是否能及时送检查及标本？</w:t>
      </w:r>
    </w:p>
    <w:p w14:paraId="6771CA9C">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A.能 （10分）    B、基本能（8分）     C、不能 （0分）</w:t>
      </w:r>
    </w:p>
    <w:p w14:paraId="112A919B">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2.护工是否有意识爱护科室财产及节约水电？</w:t>
      </w:r>
    </w:p>
    <w:p w14:paraId="3380016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A.有（10分）     B、有时有（8分）     C、没有（0分）</w:t>
      </w:r>
    </w:p>
    <w:p w14:paraId="0651D794">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cs="宋体"/>
          <w:color w:val="auto"/>
          <w:kern w:val="2"/>
          <w:sz w:val="24"/>
          <w:szCs w:val="24"/>
          <w:highlight w:val="none"/>
          <w:lang w:val="en-US" w:eastAsia="zh-CN" w:bidi="ar-SA"/>
        </w:rPr>
        <w:t>检查任务较多时，护工能否合理安排各项工作？</w:t>
      </w:r>
    </w:p>
    <w:p w14:paraId="5B0FE41E">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A.能（10分）     B、基本能（8分）     C、不能（0分）</w:t>
      </w:r>
    </w:p>
    <w:p w14:paraId="2921FFC3">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4.护工送检或外出时是否会与护士沟通？</w:t>
      </w:r>
    </w:p>
    <w:p w14:paraId="16AE41A2">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A.会（10分）     B、有时会（8分）     C、不会（0分）</w:t>
      </w:r>
    </w:p>
    <w:p w14:paraId="36A5A1A4">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5.护工晨晚间护理做得是否到位？</w:t>
      </w:r>
    </w:p>
    <w:p w14:paraId="121DCFB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A.到位（10分）   B、基本到位（8分）   C、不到位（0分）</w:t>
      </w:r>
    </w:p>
    <w:p w14:paraId="2A97A5A8">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r>
        <w:rPr>
          <w:rFonts w:hint="eastAsia" w:ascii="宋体" w:hAnsi="宋体" w:cs="宋体"/>
          <w:color w:val="auto"/>
          <w:kern w:val="2"/>
          <w:sz w:val="24"/>
          <w:szCs w:val="24"/>
          <w:highlight w:val="none"/>
          <w:lang w:val="en-US" w:eastAsia="zh-CN" w:bidi="ar-SA"/>
        </w:rPr>
        <w:t>护工是否能主动询问护士是否有新的检查或标本需送检？</w:t>
      </w:r>
    </w:p>
    <w:p w14:paraId="4FEBDD3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A.会（10分）     B、有时会（8分）     C、不会（0分）</w:t>
      </w:r>
    </w:p>
    <w:p w14:paraId="2453A99A">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7.护工是否服从护士及护士长关于护工职责内的工作安排？</w:t>
      </w:r>
    </w:p>
    <w:p w14:paraId="4AE75714">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A.服从（10分）   B、基本服从（8分）   C、不服从（0分）</w:t>
      </w:r>
    </w:p>
    <w:p w14:paraId="260A94B0">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8.护工是否能够主动巡视病房？</w:t>
      </w:r>
    </w:p>
    <w:p w14:paraId="4DE6BA9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A.能（10分）     B、基本能（8分）     C、不能（0分）</w:t>
      </w:r>
    </w:p>
    <w:p w14:paraId="45173B1E">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r>
        <w:rPr>
          <w:rFonts w:hint="eastAsia" w:ascii="宋体" w:hAnsi="宋体" w:cs="宋体"/>
          <w:color w:val="auto"/>
          <w:kern w:val="2"/>
          <w:sz w:val="24"/>
          <w:szCs w:val="24"/>
          <w:highlight w:val="none"/>
          <w:lang w:val="en-US" w:eastAsia="zh-CN" w:bidi="ar-SA"/>
        </w:rPr>
        <w:t>护工是否主动协助患者及时修剪指甲、胡须？</w:t>
      </w:r>
    </w:p>
    <w:p w14:paraId="0168EFB7">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A.能（10分）     B、基本能（8分）     C、不能（0分）</w:t>
      </w:r>
    </w:p>
    <w:p w14:paraId="1CED2335">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10.您对护工的服务态度是否满意？</w:t>
      </w:r>
    </w:p>
    <w:p w14:paraId="2182B496">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A.满意（10分）   B、较满意（8分）     C、不满意（0分）</w:t>
      </w:r>
    </w:p>
    <w:p w14:paraId="4A49CDB5">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您认为护工需要加强哪些方面的培训？</w:t>
      </w:r>
    </w:p>
    <w:p w14:paraId="13532FC7">
      <w:pPr>
        <w:pStyle w:val="244"/>
        <w:spacing w:after="0" w:line="480" w:lineRule="exact"/>
        <w:ind w:firstLine="440"/>
        <w:rPr>
          <w:rFonts w:hint="eastAsia" w:ascii="宋体" w:hAnsi="宋体" w:eastAsia="宋体" w:cs="宋体"/>
          <w:color w:val="auto"/>
          <w:kern w:val="2"/>
          <w:sz w:val="24"/>
          <w:szCs w:val="24"/>
          <w:highlight w:val="none"/>
          <w:lang w:val="en-US" w:eastAsia="zh-CN" w:bidi="ar-SA"/>
        </w:rPr>
      </w:pPr>
    </w:p>
    <w:p w14:paraId="13DED00F">
      <w:pPr>
        <w:pStyle w:val="244"/>
        <w:spacing w:after="0" w:line="48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对于贵我双方的合作，您对我们有何期望和建议？ </w:t>
      </w: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201060900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黑体"/>
    <w:panose1 w:val="020B0609010101010101"/>
    <w:charset w:val="86"/>
    <w:family w:val="modern"/>
    <w:pitch w:val="default"/>
    <w:sig w:usb0="00000000" w:usb1="00000000" w:usb2="00000010" w:usb3="00000000" w:csb0="00040000" w:csb1="00000000"/>
  </w:font>
  <w:font w:name="方正黑体_GBK">
    <w:altName w:val="微软雅黑"/>
    <w:panose1 w:val="02010600010101010101"/>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1" w:fontKey="{42CB97F4-DC81-47BD-8F91-D1F08819EE93}"/>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15CB">
    <w:pPr>
      <w:pStyle w:val="35"/>
      <w:framePr w:wrap="around" w:vAnchor="text" w:hAnchor="margin" w:xAlign="center" w:y="1"/>
      <w:jc w:val="center"/>
      <w:rPr>
        <w:rStyle w:val="62"/>
        <w:rFonts w:hint="eastAsia" w:ascii="宋体"/>
        <w:sz w:val="21"/>
        <w:szCs w:val="21"/>
      </w:rPr>
    </w:pPr>
    <w:r>
      <w:rPr>
        <w:rFonts w:ascii="宋体"/>
        <w:sz w:val="21"/>
        <w:szCs w:val="21"/>
      </w:rPr>
      <w:fldChar w:fldCharType="begin"/>
    </w:r>
    <w:r>
      <w:rPr>
        <w:rStyle w:val="62"/>
        <w:rFonts w:ascii="宋体"/>
        <w:sz w:val="21"/>
        <w:szCs w:val="21"/>
      </w:rPr>
      <w:instrText xml:space="preserve">PAGE  </w:instrText>
    </w:r>
    <w:r>
      <w:rPr>
        <w:rFonts w:ascii="宋体"/>
        <w:sz w:val="21"/>
        <w:szCs w:val="21"/>
      </w:rPr>
      <w:fldChar w:fldCharType="separate"/>
    </w:r>
    <w:r>
      <w:rPr>
        <w:rStyle w:val="62"/>
        <w:rFonts w:ascii="宋体"/>
        <w:sz w:val="21"/>
        <w:szCs w:val="21"/>
      </w:rPr>
      <w:t>- 5 -</w:t>
    </w:r>
    <w:r>
      <w:rPr>
        <w:rFonts w:ascii="宋体"/>
        <w:sz w:val="21"/>
        <w:szCs w:val="21"/>
      </w:rPr>
      <w:fldChar w:fldCharType="end"/>
    </w:r>
  </w:p>
  <w:p w14:paraId="07AE51A2">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224D8">
    <w:pPr>
      <w:pStyle w:val="35"/>
      <w:framePr w:wrap="around" w:vAnchor="text" w:hAnchor="margin" w:xAlign="center" w:y="1"/>
      <w:rPr>
        <w:rStyle w:val="62"/>
      </w:rPr>
    </w:pPr>
  </w:p>
  <w:p w14:paraId="042C6B03">
    <w:pPr>
      <w:pStyle w:val="35"/>
      <w:jc w:val="center"/>
      <w:rPr>
        <w:rFonts w:hint="eastAsia"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1DB1">
    <w:pPr>
      <w:pStyle w:val="3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0D142">
                          <w:pPr>
                            <w:pStyle w:val="35"/>
                          </w:pPr>
                          <w:r>
                            <w:t xml:space="preserve">第 </w:t>
                          </w:r>
                          <w:r>
                            <w:fldChar w:fldCharType="begin"/>
                          </w:r>
                          <w:r>
                            <w:instrText xml:space="preserve"> PAGE  \* MERGEFORMAT </w:instrText>
                          </w:r>
                          <w:r>
                            <w:fldChar w:fldCharType="separate"/>
                          </w:r>
                          <w:r>
                            <w:t>- 2 -</w:t>
                          </w:r>
                          <w:r>
                            <w:fldChar w:fldCharType="end"/>
                          </w:r>
                          <w:r>
                            <w:t xml:space="preserve"> 页 共 </w:t>
                          </w:r>
                          <w:r>
                            <w:rPr>
                              <w:rFonts w:hint="eastAsia"/>
                              <w:lang w:val="en-US" w:eastAsia="zh-CN"/>
                            </w:rPr>
                            <w:t>48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90D142">
                    <w:pPr>
                      <w:pStyle w:val="35"/>
                    </w:pPr>
                    <w:r>
                      <w:t xml:space="preserve">第 </w:t>
                    </w:r>
                    <w:r>
                      <w:fldChar w:fldCharType="begin"/>
                    </w:r>
                    <w:r>
                      <w:instrText xml:space="preserve"> PAGE  \* MERGEFORMAT </w:instrText>
                    </w:r>
                    <w:r>
                      <w:fldChar w:fldCharType="separate"/>
                    </w:r>
                    <w:r>
                      <w:t>- 2 -</w:t>
                    </w:r>
                    <w:r>
                      <w:fldChar w:fldCharType="end"/>
                    </w:r>
                    <w:r>
                      <w:t xml:space="preserve"> 页 共 </w:t>
                    </w:r>
                    <w:r>
                      <w:rPr>
                        <w:rFonts w:hint="eastAsia"/>
                        <w:lang w:val="en-US" w:eastAsia="zh-CN"/>
                      </w:rPr>
                      <w:t>48</w:t>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980A">
    <w:pPr>
      <w:pStyle w:val="35"/>
      <w:jc w:val="center"/>
      <w:rPr>
        <w:rFonts w:hint="eastAsia"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BB470">
                          <w:pPr>
                            <w:pStyle w:val="35"/>
                          </w:pPr>
                          <w:r>
                            <w:t xml:space="preserve">第 </w:t>
                          </w:r>
                          <w:r>
                            <w:fldChar w:fldCharType="begin"/>
                          </w:r>
                          <w:r>
                            <w:instrText xml:space="preserve"> PAGE  \* MERGEFORMAT </w:instrText>
                          </w:r>
                          <w:r>
                            <w:fldChar w:fldCharType="separate"/>
                          </w:r>
                          <w:r>
                            <w:t>- 3 -</w:t>
                          </w:r>
                          <w:r>
                            <w:fldChar w:fldCharType="end"/>
                          </w:r>
                          <w:r>
                            <w:t xml:space="preserve"> 页 共 </w:t>
                          </w:r>
                          <w:r>
                            <w:rPr>
                              <w:rFonts w:hint="eastAsia"/>
                              <w:lang w:val="en-US" w:eastAsia="zh-CN"/>
                            </w:rPr>
                            <w:t>48</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40BB470">
                    <w:pPr>
                      <w:pStyle w:val="35"/>
                    </w:pPr>
                    <w:r>
                      <w:t xml:space="preserve">第 </w:t>
                    </w:r>
                    <w:r>
                      <w:fldChar w:fldCharType="begin"/>
                    </w:r>
                    <w:r>
                      <w:instrText xml:space="preserve"> PAGE  \* MERGEFORMAT </w:instrText>
                    </w:r>
                    <w:r>
                      <w:fldChar w:fldCharType="separate"/>
                    </w:r>
                    <w:r>
                      <w:t>- 3 -</w:t>
                    </w:r>
                    <w:r>
                      <w:fldChar w:fldCharType="end"/>
                    </w:r>
                    <w:r>
                      <w:t xml:space="preserve"> 页 共 </w:t>
                    </w:r>
                    <w:r>
                      <w:rPr>
                        <w:rFonts w:hint="eastAsia"/>
                        <w:lang w:val="en-US" w:eastAsia="zh-CN"/>
                      </w:rPr>
                      <w:t>48</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1E3D2">
    <w:pPr>
      <w:pStyle w:val="35"/>
      <w:framePr w:wrap="around" w:vAnchor="text" w:hAnchor="margin" w:xAlign="center" w:y="1"/>
      <w:rPr>
        <w:rStyle w:val="62"/>
      </w:rPr>
    </w:pPr>
    <w:r>
      <w:fldChar w:fldCharType="begin"/>
    </w:r>
    <w:r>
      <w:rPr>
        <w:rStyle w:val="62"/>
      </w:rPr>
      <w:instrText xml:space="preserve">PAGE  </w:instrText>
    </w:r>
    <w:r>
      <w:fldChar w:fldCharType="separate"/>
    </w:r>
    <w:r>
      <w:fldChar w:fldCharType="end"/>
    </w:r>
  </w:p>
  <w:p w14:paraId="085049C3">
    <w:pPr>
      <w:pStyle w:val="3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C65CC">
    <w:pPr>
      <w:pStyle w:val="36"/>
      <w:jc w:val="both"/>
      <w:rPr>
        <w:rFonts w:hint="eastAsia" w:ascii="方正仿宋_GBK" w:eastAsia="方正仿宋_GBK"/>
        <w:sz w:val="21"/>
        <w:szCs w:val="21"/>
      </w:rPr>
    </w:pPr>
    <w:r>
      <w:rPr>
        <w:rFonts w:hint="eastAsia" w:ascii="方正仿宋_GBK" w:eastAsia="方正仿宋_GBK"/>
        <w:sz w:val="21"/>
        <w:szCs w:val="21"/>
      </w:rPr>
      <w:t xml:space="preserve">                                                                        </w:t>
    </w:r>
    <w:r>
      <w:rPr>
        <w:rFonts w:hint="eastAsia" w:ascii="方正仿宋_GBK" w:eastAsia="方正仿宋_GBK"/>
        <w:sz w:val="21"/>
        <w:szCs w:val="21"/>
        <w:lang w:eastAsia="zh-CN"/>
      </w:rPr>
      <w:t>竞争性磋商</w:t>
    </w:r>
    <w:r>
      <w:rPr>
        <w:rFonts w:hint="eastAsia" w:ascii="方正仿宋_GBK" w:eastAsia="方正仿宋_GBK"/>
        <w:sz w:val="21"/>
        <w:szCs w:val="21"/>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7F">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E40B7">
    <w:pPr>
      <w:pStyle w:val="36"/>
      <w:jc w:val="both"/>
      <w:rPr>
        <w:rFonts w:hint="eastAsia" w:ascii="方正仿宋_GBK" w:eastAsia="方正仿宋_GBK"/>
        <w:sz w:val="21"/>
        <w:szCs w:val="21"/>
      </w:rPr>
    </w:pPr>
    <w:r>
      <w:rPr>
        <w:rFonts w:hint="eastAsia" w:ascii="方正仿宋_GBK" w:eastAsia="方正仿宋_GBK"/>
        <w:sz w:val="21"/>
        <w:szCs w:val="21"/>
      </w:rPr>
      <w:t xml:space="preserve">                                                                       </w:t>
    </w:r>
    <w:r>
      <w:rPr>
        <w:rFonts w:hint="eastAsia" w:ascii="方正仿宋_GBK" w:eastAsia="方正仿宋_GBK"/>
        <w:sz w:val="21"/>
        <w:szCs w:val="21"/>
        <w:lang w:eastAsia="zh-CN"/>
      </w:rPr>
      <w:t>竞争性磋商</w:t>
    </w:r>
    <w:r>
      <w:rPr>
        <w:rFonts w:hint="eastAsia" w:ascii="方正仿宋_GBK" w:eastAsia="方正仿宋_GBK"/>
        <w:sz w:val="21"/>
        <w:szCs w:val="21"/>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C53B4">
    <w:pPr>
      <w:pStyle w:val="36"/>
      <w:jc w:val="both"/>
      <w:rPr>
        <w:rFonts w:hint="eastAsia" w:ascii="方正仿宋_GBK" w:eastAsia="方正仿宋_GBK"/>
        <w:sz w:val="21"/>
        <w:szCs w:val="21"/>
      </w:rPr>
    </w:pPr>
    <w:r>
      <w:rPr>
        <w:rFonts w:hint="eastAsia" w:ascii="方正仿宋_GBK" w:eastAsia="方正仿宋_GBK"/>
        <w:sz w:val="21"/>
        <w:szCs w:val="21"/>
      </w:rPr>
      <w:t xml:space="preserve">                                                                          </w:t>
    </w:r>
    <w:r>
      <w:rPr>
        <w:rFonts w:hint="eastAsia" w:ascii="方正仿宋_GBK" w:eastAsia="方正仿宋_GBK"/>
        <w:sz w:val="21"/>
        <w:szCs w:val="21"/>
        <w:lang w:eastAsia="zh-CN"/>
      </w:rPr>
      <w:t>竞争性磋商</w:t>
    </w:r>
    <w:r>
      <w:rPr>
        <w:rFonts w:hint="eastAsia" w:ascii="方正仿宋_GBK" w:eastAsia="方正仿宋_GBK"/>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A0B9C"/>
    <w:multiLevelType w:val="singleLevel"/>
    <w:tmpl w:val="D86A0B9C"/>
    <w:lvl w:ilvl="0" w:tentative="0">
      <w:start w:val="3"/>
      <w:numFmt w:val="chineseCounting"/>
      <w:suff w:val="space"/>
      <w:lvlText w:val="第%1条"/>
      <w:lvlJc w:val="left"/>
      <w:rPr>
        <w:rFonts w:hint="eastAsia"/>
      </w:rPr>
    </w:lvl>
  </w:abstractNum>
  <w:abstractNum w:abstractNumId="1">
    <w:nsid w:val="00000009"/>
    <w:multiLevelType w:val="multilevel"/>
    <w:tmpl w:val="00000009"/>
    <w:lvl w:ilvl="0" w:tentative="0">
      <w:start w:val="1"/>
      <w:numFmt w:val="upperLetter"/>
      <w:pStyle w:val="146"/>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5"/>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4"/>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8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226"/>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20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1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03"/>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158"/>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6"/>
  </w:num>
  <w:num w:numId="3">
    <w:abstractNumId w:val="4"/>
  </w:num>
  <w:num w:numId="4">
    <w:abstractNumId w:val="10"/>
  </w:num>
  <w:num w:numId="5">
    <w:abstractNumId w:val="1"/>
  </w:num>
  <w:num w:numId="6">
    <w:abstractNumId w:val="12"/>
  </w:num>
  <w:num w:numId="7">
    <w:abstractNumId w:val="3"/>
  </w:num>
  <w:num w:numId="8">
    <w:abstractNumId w:val="5"/>
  </w:num>
  <w:num w:numId="9">
    <w:abstractNumId w:val="2"/>
  </w:num>
  <w:num w:numId="10">
    <w:abstractNumId w:val="11"/>
  </w:num>
  <w:num w:numId="11">
    <w:abstractNumId w:val="7"/>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M2Q0Nzk4M2FhZjZhYTRiYjBmNzVjNmVjMWY3NzEifQ=="/>
  </w:docVars>
  <w:rsids>
    <w:rsidRoot w:val="00172A27"/>
    <w:rsid w:val="00002EAF"/>
    <w:rsid w:val="000040DE"/>
    <w:rsid w:val="00005A02"/>
    <w:rsid w:val="00015A2E"/>
    <w:rsid w:val="00016B79"/>
    <w:rsid w:val="00026AFF"/>
    <w:rsid w:val="00027AF7"/>
    <w:rsid w:val="00033C8A"/>
    <w:rsid w:val="000358F8"/>
    <w:rsid w:val="000362F7"/>
    <w:rsid w:val="0003632F"/>
    <w:rsid w:val="00036537"/>
    <w:rsid w:val="00043C9B"/>
    <w:rsid w:val="000446C0"/>
    <w:rsid w:val="000513D1"/>
    <w:rsid w:val="0005298B"/>
    <w:rsid w:val="00052A3A"/>
    <w:rsid w:val="00053A69"/>
    <w:rsid w:val="00053CC2"/>
    <w:rsid w:val="00054308"/>
    <w:rsid w:val="0005456D"/>
    <w:rsid w:val="000549FF"/>
    <w:rsid w:val="000576E1"/>
    <w:rsid w:val="00063981"/>
    <w:rsid w:val="00064FA3"/>
    <w:rsid w:val="00091B1C"/>
    <w:rsid w:val="00092CF5"/>
    <w:rsid w:val="000938CD"/>
    <w:rsid w:val="000946B8"/>
    <w:rsid w:val="000959DA"/>
    <w:rsid w:val="00096E0E"/>
    <w:rsid w:val="000A126B"/>
    <w:rsid w:val="000A164E"/>
    <w:rsid w:val="000A2FE6"/>
    <w:rsid w:val="000A77B9"/>
    <w:rsid w:val="000B42F4"/>
    <w:rsid w:val="000B711E"/>
    <w:rsid w:val="000B7377"/>
    <w:rsid w:val="000B7F54"/>
    <w:rsid w:val="000C04DB"/>
    <w:rsid w:val="000C1EE4"/>
    <w:rsid w:val="000C34DA"/>
    <w:rsid w:val="000C3C93"/>
    <w:rsid w:val="000C5B30"/>
    <w:rsid w:val="000C6AC7"/>
    <w:rsid w:val="000D15C6"/>
    <w:rsid w:val="000D23F5"/>
    <w:rsid w:val="000D40BA"/>
    <w:rsid w:val="000E3259"/>
    <w:rsid w:val="000F3752"/>
    <w:rsid w:val="000F48FD"/>
    <w:rsid w:val="000F511B"/>
    <w:rsid w:val="000F5ACE"/>
    <w:rsid w:val="000F7DBF"/>
    <w:rsid w:val="00100639"/>
    <w:rsid w:val="00103DA9"/>
    <w:rsid w:val="00103DDC"/>
    <w:rsid w:val="0010418E"/>
    <w:rsid w:val="001077D3"/>
    <w:rsid w:val="001122C5"/>
    <w:rsid w:val="00113E89"/>
    <w:rsid w:val="00116856"/>
    <w:rsid w:val="00120259"/>
    <w:rsid w:val="00120851"/>
    <w:rsid w:val="00124CD0"/>
    <w:rsid w:val="00124CF0"/>
    <w:rsid w:val="001266BF"/>
    <w:rsid w:val="00131054"/>
    <w:rsid w:val="00133D16"/>
    <w:rsid w:val="0013496A"/>
    <w:rsid w:val="00135B50"/>
    <w:rsid w:val="00135E0D"/>
    <w:rsid w:val="001363B2"/>
    <w:rsid w:val="001376CB"/>
    <w:rsid w:val="001401FF"/>
    <w:rsid w:val="00140C83"/>
    <w:rsid w:val="00140E25"/>
    <w:rsid w:val="00147FB4"/>
    <w:rsid w:val="0015011C"/>
    <w:rsid w:val="00150429"/>
    <w:rsid w:val="0015108F"/>
    <w:rsid w:val="00153353"/>
    <w:rsid w:val="0015351E"/>
    <w:rsid w:val="001559C6"/>
    <w:rsid w:val="0016035A"/>
    <w:rsid w:val="0016303B"/>
    <w:rsid w:val="00165700"/>
    <w:rsid w:val="0017421F"/>
    <w:rsid w:val="001748ED"/>
    <w:rsid w:val="00177DD5"/>
    <w:rsid w:val="00180ACB"/>
    <w:rsid w:val="00181A7F"/>
    <w:rsid w:val="0018347E"/>
    <w:rsid w:val="0018465A"/>
    <w:rsid w:val="00184E27"/>
    <w:rsid w:val="00186623"/>
    <w:rsid w:val="0018699A"/>
    <w:rsid w:val="001915CE"/>
    <w:rsid w:val="001A0016"/>
    <w:rsid w:val="001A4270"/>
    <w:rsid w:val="001A6A3F"/>
    <w:rsid w:val="001A6DCC"/>
    <w:rsid w:val="001A7806"/>
    <w:rsid w:val="001B2365"/>
    <w:rsid w:val="001B3DBD"/>
    <w:rsid w:val="001B4377"/>
    <w:rsid w:val="001B6655"/>
    <w:rsid w:val="001D2321"/>
    <w:rsid w:val="001D2DCD"/>
    <w:rsid w:val="001D435E"/>
    <w:rsid w:val="001D5055"/>
    <w:rsid w:val="001E0376"/>
    <w:rsid w:val="001E5CAC"/>
    <w:rsid w:val="001E5EB4"/>
    <w:rsid w:val="001E725F"/>
    <w:rsid w:val="001E75B9"/>
    <w:rsid w:val="001E75F4"/>
    <w:rsid w:val="001F1AF7"/>
    <w:rsid w:val="001F1CA8"/>
    <w:rsid w:val="001F48D9"/>
    <w:rsid w:val="001F4964"/>
    <w:rsid w:val="001F511B"/>
    <w:rsid w:val="001F7063"/>
    <w:rsid w:val="00200186"/>
    <w:rsid w:val="00202B04"/>
    <w:rsid w:val="00204936"/>
    <w:rsid w:val="002100EE"/>
    <w:rsid w:val="002105E1"/>
    <w:rsid w:val="00211874"/>
    <w:rsid w:val="00211A92"/>
    <w:rsid w:val="0022065B"/>
    <w:rsid w:val="00222097"/>
    <w:rsid w:val="0022517B"/>
    <w:rsid w:val="00225B78"/>
    <w:rsid w:val="00227BA9"/>
    <w:rsid w:val="00231797"/>
    <w:rsid w:val="00235F8F"/>
    <w:rsid w:val="00237759"/>
    <w:rsid w:val="0024359D"/>
    <w:rsid w:val="00244E68"/>
    <w:rsid w:val="002539DF"/>
    <w:rsid w:val="00263F49"/>
    <w:rsid w:val="002643C1"/>
    <w:rsid w:val="00267DDF"/>
    <w:rsid w:val="00270ED7"/>
    <w:rsid w:val="00271A27"/>
    <w:rsid w:val="00271D47"/>
    <w:rsid w:val="002721EA"/>
    <w:rsid w:val="00275FED"/>
    <w:rsid w:val="00280E8A"/>
    <w:rsid w:val="00282FBA"/>
    <w:rsid w:val="00283A40"/>
    <w:rsid w:val="00283B57"/>
    <w:rsid w:val="00285164"/>
    <w:rsid w:val="00285D78"/>
    <w:rsid w:val="00293D74"/>
    <w:rsid w:val="00294EB6"/>
    <w:rsid w:val="00295381"/>
    <w:rsid w:val="002A4956"/>
    <w:rsid w:val="002A5652"/>
    <w:rsid w:val="002A6710"/>
    <w:rsid w:val="002A7598"/>
    <w:rsid w:val="002A7622"/>
    <w:rsid w:val="002B1F56"/>
    <w:rsid w:val="002B3C24"/>
    <w:rsid w:val="002B47A4"/>
    <w:rsid w:val="002B7904"/>
    <w:rsid w:val="002C0821"/>
    <w:rsid w:val="002C2507"/>
    <w:rsid w:val="002C2E6E"/>
    <w:rsid w:val="002C69BF"/>
    <w:rsid w:val="002C6DF1"/>
    <w:rsid w:val="002E4C46"/>
    <w:rsid w:val="002E632A"/>
    <w:rsid w:val="002F159B"/>
    <w:rsid w:val="002F1B06"/>
    <w:rsid w:val="002F26FF"/>
    <w:rsid w:val="002F3DE3"/>
    <w:rsid w:val="002F5060"/>
    <w:rsid w:val="002F632E"/>
    <w:rsid w:val="002F761B"/>
    <w:rsid w:val="00310AF9"/>
    <w:rsid w:val="00312897"/>
    <w:rsid w:val="0031465E"/>
    <w:rsid w:val="00314E6F"/>
    <w:rsid w:val="00315742"/>
    <w:rsid w:val="003163B3"/>
    <w:rsid w:val="00317698"/>
    <w:rsid w:val="00323FD5"/>
    <w:rsid w:val="00325A26"/>
    <w:rsid w:val="00326BBC"/>
    <w:rsid w:val="00335BDB"/>
    <w:rsid w:val="003360A8"/>
    <w:rsid w:val="003405FD"/>
    <w:rsid w:val="00341DEB"/>
    <w:rsid w:val="00343C3E"/>
    <w:rsid w:val="00346A3D"/>
    <w:rsid w:val="00350C20"/>
    <w:rsid w:val="0035143D"/>
    <w:rsid w:val="003548FA"/>
    <w:rsid w:val="00355A74"/>
    <w:rsid w:val="00361427"/>
    <w:rsid w:val="00361441"/>
    <w:rsid w:val="00362402"/>
    <w:rsid w:val="00363A39"/>
    <w:rsid w:val="0036458B"/>
    <w:rsid w:val="00371328"/>
    <w:rsid w:val="00371D2F"/>
    <w:rsid w:val="00372D5B"/>
    <w:rsid w:val="0037335E"/>
    <w:rsid w:val="00375E03"/>
    <w:rsid w:val="0038344F"/>
    <w:rsid w:val="00384161"/>
    <w:rsid w:val="00387610"/>
    <w:rsid w:val="00396FFE"/>
    <w:rsid w:val="003973D3"/>
    <w:rsid w:val="003A0892"/>
    <w:rsid w:val="003A449E"/>
    <w:rsid w:val="003A501C"/>
    <w:rsid w:val="003A57F1"/>
    <w:rsid w:val="003A71F3"/>
    <w:rsid w:val="003B19F5"/>
    <w:rsid w:val="003B2501"/>
    <w:rsid w:val="003B7B71"/>
    <w:rsid w:val="003C0A38"/>
    <w:rsid w:val="003D0E0A"/>
    <w:rsid w:val="003D1569"/>
    <w:rsid w:val="003E1F8A"/>
    <w:rsid w:val="003E4727"/>
    <w:rsid w:val="003E5324"/>
    <w:rsid w:val="003E5E67"/>
    <w:rsid w:val="00402B32"/>
    <w:rsid w:val="004044EE"/>
    <w:rsid w:val="00410C93"/>
    <w:rsid w:val="00411B4A"/>
    <w:rsid w:val="00412680"/>
    <w:rsid w:val="004167CD"/>
    <w:rsid w:val="00425367"/>
    <w:rsid w:val="00425EDA"/>
    <w:rsid w:val="0043290D"/>
    <w:rsid w:val="00433ADB"/>
    <w:rsid w:val="004353BF"/>
    <w:rsid w:val="004400CA"/>
    <w:rsid w:val="00446735"/>
    <w:rsid w:val="004474F3"/>
    <w:rsid w:val="004515DA"/>
    <w:rsid w:val="00453A00"/>
    <w:rsid w:val="004543A5"/>
    <w:rsid w:val="00462878"/>
    <w:rsid w:val="0046417B"/>
    <w:rsid w:val="004657EA"/>
    <w:rsid w:val="00481A49"/>
    <w:rsid w:val="00484E88"/>
    <w:rsid w:val="004953EC"/>
    <w:rsid w:val="004A015E"/>
    <w:rsid w:val="004A020F"/>
    <w:rsid w:val="004A0DE1"/>
    <w:rsid w:val="004A21A7"/>
    <w:rsid w:val="004A2410"/>
    <w:rsid w:val="004A27AC"/>
    <w:rsid w:val="004A2B68"/>
    <w:rsid w:val="004A6DDD"/>
    <w:rsid w:val="004A7523"/>
    <w:rsid w:val="004B181C"/>
    <w:rsid w:val="004C1DD0"/>
    <w:rsid w:val="004C2ED2"/>
    <w:rsid w:val="004C60EA"/>
    <w:rsid w:val="004C64E4"/>
    <w:rsid w:val="004D1D5E"/>
    <w:rsid w:val="004E0650"/>
    <w:rsid w:val="004E3234"/>
    <w:rsid w:val="004E3AEE"/>
    <w:rsid w:val="004E4EFB"/>
    <w:rsid w:val="004E55DB"/>
    <w:rsid w:val="004F0533"/>
    <w:rsid w:val="004F2A9F"/>
    <w:rsid w:val="004F6879"/>
    <w:rsid w:val="005000E9"/>
    <w:rsid w:val="00500D8B"/>
    <w:rsid w:val="00502B2F"/>
    <w:rsid w:val="00505F40"/>
    <w:rsid w:val="00512D00"/>
    <w:rsid w:val="00514179"/>
    <w:rsid w:val="00516CDF"/>
    <w:rsid w:val="005170E4"/>
    <w:rsid w:val="005171C9"/>
    <w:rsid w:val="005214D2"/>
    <w:rsid w:val="00522621"/>
    <w:rsid w:val="00524D8A"/>
    <w:rsid w:val="005266F6"/>
    <w:rsid w:val="005320C1"/>
    <w:rsid w:val="00536484"/>
    <w:rsid w:val="00545431"/>
    <w:rsid w:val="005460D5"/>
    <w:rsid w:val="0055517C"/>
    <w:rsid w:val="00556AA7"/>
    <w:rsid w:val="005573AE"/>
    <w:rsid w:val="0056050C"/>
    <w:rsid w:val="0056217D"/>
    <w:rsid w:val="00562860"/>
    <w:rsid w:val="005631C8"/>
    <w:rsid w:val="00565746"/>
    <w:rsid w:val="00566A85"/>
    <w:rsid w:val="00570831"/>
    <w:rsid w:val="00570FCB"/>
    <w:rsid w:val="00571368"/>
    <w:rsid w:val="00573AE3"/>
    <w:rsid w:val="00574240"/>
    <w:rsid w:val="005768CC"/>
    <w:rsid w:val="00581B74"/>
    <w:rsid w:val="00583204"/>
    <w:rsid w:val="005902D9"/>
    <w:rsid w:val="00590B75"/>
    <w:rsid w:val="0059244D"/>
    <w:rsid w:val="005925EE"/>
    <w:rsid w:val="00592A7E"/>
    <w:rsid w:val="005943A4"/>
    <w:rsid w:val="00596AB7"/>
    <w:rsid w:val="00597F87"/>
    <w:rsid w:val="005A1459"/>
    <w:rsid w:val="005A1EA7"/>
    <w:rsid w:val="005A7D38"/>
    <w:rsid w:val="005B0724"/>
    <w:rsid w:val="005B1E46"/>
    <w:rsid w:val="005B295A"/>
    <w:rsid w:val="005B7775"/>
    <w:rsid w:val="005C0014"/>
    <w:rsid w:val="005C2924"/>
    <w:rsid w:val="005C42AC"/>
    <w:rsid w:val="005C4F84"/>
    <w:rsid w:val="005C5383"/>
    <w:rsid w:val="005D12E2"/>
    <w:rsid w:val="005D3382"/>
    <w:rsid w:val="005D703E"/>
    <w:rsid w:val="005E370D"/>
    <w:rsid w:val="005E620C"/>
    <w:rsid w:val="005E7E9D"/>
    <w:rsid w:val="005F123E"/>
    <w:rsid w:val="005F1B6C"/>
    <w:rsid w:val="005F4509"/>
    <w:rsid w:val="005F7F2B"/>
    <w:rsid w:val="0060543A"/>
    <w:rsid w:val="00610C5F"/>
    <w:rsid w:val="00613410"/>
    <w:rsid w:val="00615434"/>
    <w:rsid w:val="0061717E"/>
    <w:rsid w:val="00617986"/>
    <w:rsid w:val="00625262"/>
    <w:rsid w:val="00627DD2"/>
    <w:rsid w:val="00635B4B"/>
    <w:rsid w:val="00640026"/>
    <w:rsid w:val="006414B7"/>
    <w:rsid w:val="00654A48"/>
    <w:rsid w:val="006552FD"/>
    <w:rsid w:val="0065651B"/>
    <w:rsid w:val="00664607"/>
    <w:rsid w:val="0066468B"/>
    <w:rsid w:val="00670089"/>
    <w:rsid w:val="00670560"/>
    <w:rsid w:val="006809DA"/>
    <w:rsid w:val="00680AE4"/>
    <w:rsid w:val="00684E51"/>
    <w:rsid w:val="0069086A"/>
    <w:rsid w:val="00695990"/>
    <w:rsid w:val="0069635B"/>
    <w:rsid w:val="006A100B"/>
    <w:rsid w:val="006A143A"/>
    <w:rsid w:val="006A278D"/>
    <w:rsid w:val="006A3285"/>
    <w:rsid w:val="006A4743"/>
    <w:rsid w:val="006A55C3"/>
    <w:rsid w:val="006B0048"/>
    <w:rsid w:val="006B17C8"/>
    <w:rsid w:val="006B243E"/>
    <w:rsid w:val="006B5E7E"/>
    <w:rsid w:val="006B72DE"/>
    <w:rsid w:val="006C4BA5"/>
    <w:rsid w:val="006C5FC1"/>
    <w:rsid w:val="006D44E1"/>
    <w:rsid w:val="006D552C"/>
    <w:rsid w:val="006E21FA"/>
    <w:rsid w:val="006E6952"/>
    <w:rsid w:val="006F03F0"/>
    <w:rsid w:val="006F0DEB"/>
    <w:rsid w:val="006F0FB7"/>
    <w:rsid w:val="006F15D4"/>
    <w:rsid w:val="006F354D"/>
    <w:rsid w:val="006F511B"/>
    <w:rsid w:val="006F70D3"/>
    <w:rsid w:val="006F7C11"/>
    <w:rsid w:val="00701184"/>
    <w:rsid w:val="00704E5D"/>
    <w:rsid w:val="00705739"/>
    <w:rsid w:val="007113A1"/>
    <w:rsid w:val="0071489C"/>
    <w:rsid w:val="007159B2"/>
    <w:rsid w:val="00717148"/>
    <w:rsid w:val="00717835"/>
    <w:rsid w:val="00724F97"/>
    <w:rsid w:val="00726088"/>
    <w:rsid w:val="007267F7"/>
    <w:rsid w:val="007279DB"/>
    <w:rsid w:val="00730B6A"/>
    <w:rsid w:val="00730BFB"/>
    <w:rsid w:val="00731622"/>
    <w:rsid w:val="00732F02"/>
    <w:rsid w:val="00734C8D"/>
    <w:rsid w:val="00736D88"/>
    <w:rsid w:val="00736DD2"/>
    <w:rsid w:val="00736E78"/>
    <w:rsid w:val="00743D93"/>
    <w:rsid w:val="00745FA2"/>
    <w:rsid w:val="0074681C"/>
    <w:rsid w:val="00746B5E"/>
    <w:rsid w:val="00746EC2"/>
    <w:rsid w:val="0075581A"/>
    <w:rsid w:val="0076486C"/>
    <w:rsid w:val="00765984"/>
    <w:rsid w:val="00767F36"/>
    <w:rsid w:val="00770494"/>
    <w:rsid w:val="00771617"/>
    <w:rsid w:val="00771A7C"/>
    <w:rsid w:val="007766B3"/>
    <w:rsid w:val="007766E9"/>
    <w:rsid w:val="00777433"/>
    <w:rsid w:val="007820DC"/>
    <w:rsid w:val="00785E3E"/>
    <w:rsid w:val="00785F86"/>
    <w:rsid w:val="00794CCF"/>
    <w:rsid w:val="00794FE8"/>
    <w:rsid w:val="007955DD"/>
    <w:rsid w:val="007959AC"/>
    <w:rsid w:val="007A20E0"/>
    <w:rsid w:val="007A2D82"/>
    <w:rsid w:val="007A64B7"/>
    <w:rsid w:val="007B2204"/>
    <w:rsid w:val="007B4B60"/>
    <w:rsid w:val="007C075F"/>
    <w:rsid w:val="007C2245"/>
    <w:rsid w:val="007C2331"/>
    <w:rsid w:val="007C2636"/>
    <w:rsid w:val="007C4A0F"/>
    <w:rsid w:val="007C75E9"/>
    <w:rsid w:val="007D3CA6"/>
    <w:rsid w:val="007E0D9F"/>
    <w:rsid w:val="007E298C"/>
    <w:rsid w:val="007E30A9"/>
    <w:rsid w:val="007E3989"/>
    <w:rsid w:val="007E64BA"/>
    <w:rsid w:val="007F2295"/>
    <w:rsid w:val="007F3CCE"/>
    <w:rsid w:val="007F5589"/>
    <w:rsid w:val="007F5C55"/>
    <w:rsid w:val="007F6A65"/>
    <w:rsid w:val="00801462"/>
    <w:rsid w:val="008026BD"/>
    <w:rsid w:val="00802CE7"/>
    <w:rsid w:val="00803B59"/>
    <w:rsid w:val="008041D4"/>
    <w:rsid w:val="00804AE5"/>
    <w:rsid w:val="00807C01"/>
    <w:rsid w:val="00807EE7"/>
    <w:rsid w:val="008109A2"/>
    <w:rsid w:val="0081156A"/>
    <w:rsid w:val="00815920"/>
    <w:rsid w:val="00823DF6"/>
    <w:rsid w:val="00825DDF"/>
    <w:rsid w:val="00826964"/>
    <w:rsid w:val="00827398"/>
    <w:rsid w:val="00831290"/>
    <w:rsid w:val="00832559"/>
    <w:rsid w:val="00832F7E"/>
    <w:rsid w:val="008409B0"/>
    <w:rsid w:val="00842974"/>
    <w:rsid w:val="0084353E"/>
    <w:rsid w:val="00851805"/>
    <w:rsid w:val="00853FE4"/>
    <w:rsid w:val="00854ACE"/>
    <w:rsid w:val="00854BF8"/>
    <w:rsid w:val="0085550A"/>
    <w:rsid w:val="0086105E"/>
    <w:rsid w:val="008616EF"/>
    <w:rsid w:val="00863C25"/>
    <w:rsid w:val="008668A0"/>
    <w:rsid w:val="008705BC"/>
    <w:rsid w:val="0087422F"/>
    <w:rsid w:val="00874324"/>
    <w:rsid w:val="00875A42"/>
    <w:rsid w:val="00883BD5"/>
    <w:rsid w:val="008904A8"/>
    <w:rsid w:val="00891344"/>
    <w:rsid w:val="008A2EFF"/>
    <w:rsid w:val="008A30C6"/>
    <w:rsid w:val="008A48FC"/>
    <w:rsid w:val="008A7C3B"/>
    <w:rsid w:val="008B12E9"/>
    <w:rsid w:val="008B53D8"/>
    <w:rsid w:val="008B63A1"/>
    <w:rsid w:val="008C28C6"/>
    <w:rsid w:val="008C3708"/>
    <w:rsid w:val="008C510F"/>
    <w:rsid w:val="008D264D"/>
    <w:rsid w:val="008D4DD3"/>
    <w:rsid w:val="008D5EB0"/>
    <w:rsid w:val="008D6EBF"/>
    <w:rsid w:val="008E0E94"/>
    <w:rsid w:val="008E39CA"/>
    <w:rsid w:val="008E50B8"/>
    <w:rsid w:val="008E66B8"/>
    <w:rsid w:val="008F00E5"/>
    <w:rsid w:val="008F1988"/>
    <w:rsid w:val="008F25DB"/>
    <w:rsid w:val="008F2AD5"/>
    <w:rsid w:val="008F2D73"/>
    <w:rsid w:val="008F3F62"/>
    <w:rsid w:val="008F6252"/>
    <w:rsid w:val="008F770B"/>
    <w:rsid w:val="009023F3"/>
    <w:rsid w:val="00902D42"/>
    <w:rsid w:val="0090383C"/>
    <w:rsid w:val="00904E19"/>
    <w:rsid w:val="00905382"/>
    <w:rsid w:val="00905D25"/>
    <w:rsid w:val="00907FFD"/>
    <w:rsid w:val="00911ACF"/>
    <w:rsid w:val="00911AE9"/>
    <w:rsid w:val="00912132"/>
    <w:rsid w:val="00912A05"/>
    <w:rsid w:val="00916001"/>
    <w:rsid w:val="009160E6"/>
    <w:rsid w:val="00922FAD"/>
    <w:rsid w:val="00924F0A"/>
    <w:rsid w:val="0092708B"/>
    <w:rsid w:val="009313BB"/>
    <w:rsid w:val="0093578C"/>
    <w:rsid w:val="00937713"/>
    <w:rsid w:val="00943FB2"/>
    <w:rsid w:val="009519E2"/>
    <w:rsid w:val="00954464"/>
    <w:rsid w:val="00960FDC"/>
    <w:rsid w:val="00963C95"/>
    <w:rsid w:val="00966820"/>
    <w:rsid w:val="00967377"/>
    <w:rsid w:val="00967A56"/>
    <w:rsid w:val="00972633"/>
    <w:rsid w:val="00973679"/>
    <w:rsid w:val="009739E4"/>
    <w:rsid w:val="00973E50"/>
    <w:rsid w:val="00980037"/>
    <w:rsid w:val="009821C6"/>
    <w:rsid w:val="00983B43"/>
    <w:rsid w:val="009935C9"/>
    <w:rsid w:val="00996D2C"/>
    <w:rsid w:val="009A070C"/>
    <w:rsid w:val="009B6D65"/>
    <w:rsid w:val="009C032D"/>
    <w:rsid w:val="009C3034"/>
    <w:rsid w:val="009C40F0"/>
    <w:rsid w:val="009C4958"/>
    <w:rsid w:val="009C7326"/>
    <w:rsid w:val="009D01D6"/>
    <w:rsid w:val="009D2934"/>
    <w:rsid w:val="009D6931"/>
    <w:rsid w:val="009E1F06"/>
    <w:rsid w:val="009E2AF3"/>
    <w:rsid w:val="009E737D"/>
    <w:rsid w:val="009E749B"/>
    <w:rsid w:val="009F3B26"/>
    <w:rsid w:val="009F3FE9"/>
    <w:rsid w:val="009F4390"/>
    <w:rsid w:val="009F5335"/>
    <w:rsid w:val="009F5682"/>
    <w:rsid w:val="00A03977"/>
    <w:rsid w:val="00A04BC7"/>
    <w:rsid w:val="00A050D4"/>
    <w:rsid w:val="00A056BA"/>
    <w:rsid w:val="00A065B8"/>
    <w:rsid w:val="00A16C2A"/>
    <w:rsid w:val="00A26FF7"/>
    <w:rsid w:val="00A30B50"/>
    <w:rsid w:val="00A3107D"/>
    <w:rsid w:val="00A330D4"/>
    <w:rsid w:val="00A35338"/>
    <w:rsid w:val="00A417D7"/>
    <w:rsid w:val="00A445DC"/>
    <w:rsid w:val="00A44BEA"/>
    <w:rsid w:val="00A527E2"/>
    <w:rsid w:val="00A553F3"/>
    <w:rsid w:val="00A575D9"/>
    <w:rsid w:val="00A57A7E"/>
    <w:rsid w:val="00A60C8A"/>
    <w:rsid w:val="00A66DEB"/>
    <w:rsid w:val="00A67DFB"/>
    <w:rsid w:val="00A67FC1"/>
    <w:rsid w:val="00A711C6"/>
    <w:rsid w:val="00A7358D"/>
    <w:rsid w:val="00A75ABC"/>
    <w:rsid w:val="00A7737E"/>
    <w:rsid w:val="00A77D33"/>
    <w:rsid w:val="00A837D7"/>
    <w:rsid w:val="00A84863"/>
    <w:rsid w:val="00A86554"/>
    <w:rsid w:val="00A911F8"/>
    <w:rsid w:val="00A930D0"/>
    <w:rsid w:val="00A943CB"/>
    <w:rsid w:val="00A952ED"/>
    <w:rsid w:val="00A95D95"/>
    <w:rsid w:val="00A974FE"/>
    <w:rsid w:val="00A977EC"/>
    <w:rsid w:val="00AA3FD1"/>
    <w:rsid w:val="00AA4AAD"/>
    <w:rsid w:val="00AB0701"/>
    <w:rsid w:val="00AB4509"/>
    <w:rsid w:val="00AB5D3A"/>
    <w:rsid w:val="00AB5ED3"/>
    <w:rsid w:val="00AB6B0C"/>
    <w:rsid w:val="00AB70CD"/>
    <w:rsid w:val="00AC2047"/>
    <w:rsid w:val="00AC2780"/>
    <w:rsid w:val="00AC28C5"/>
    <w:rsid w:val="00AC485C"/>
    <w:rsid w:val="00AC48B3"/>
    <w:rsid w:val="00AC6BCD"/>
    <w:rsid w:val="00AC7AC9"/>
    <w:rsid w:val="00AD23EF"/>
    <w:rsid w:val="00AD2504"/>
    <w:rsid w:val="00AD361A"/>
    <w:rsid w:val="00AD6A95"/>
    <w:rsid w:val="00AE0E00"/>
    <w:rsid w:val="00AE1920"/>
    <w:rsid w:val="00AE6A83"/>
    <w:rsid w:val="00AF01B3"/>
    <w:rsid w:val="00AF0F13"/>
    <w:rsid w:val="00AF65E5"/>
    <w:rsid w:val="00AF7992"/>
    <w:rsid w:val="00B00AB3"/>
    <w:rsid w:val="00B00B4D"/>
    <w:rsid w:val="00B031C9"/>
    <w:rsid w:val="00B0498C"/>
    <w:rsid w:val="00B04AB7"/>
    <w:rsid w:val="00B0583F"/>
    <w:rsid w:val="00B073C8"/>
    <w:rsid w:val="00B14C52"/>
    <w:rsid w:val="00B200AA"/>
    <w:rsid w:val="00B20272"/>
    <w:rsid w:val="00B21225"/>
    <w:rsid w:val="00B21731"/>
    <w:rsid w:val="00B225F1"/>
    <w:rsid w:val="00B22A7A"/>
    <w:rsid w:val="00B3056D"/>
    <w:rsid w:val="00B30755"/>
    <w:rsid w:val="00B313C2"/>
    <w:rsid w:val="00B33ED2"/>
    <w:rsid w:val="00B36D6C"/>
    <w:rsid w:val="00B4023A"/>
    <w:rsid w:val="00B44584"/>
    <w:rsid w:val="00B478C3"/>
    <w:rsid w:val="00B50A8F"/>
    <w:rsid w:val="00B51BBE"/>
    <w:rsid w:val="00B51C65"/>
    <w:rsid w:val="00B51D5D"/>
    <w:rsid w:val="00B534C4"/>
    <w:rsid w:val="00B537C3"/>
    <w:rsid w:val="00B61348"/>
    <w:rsid w:val="00B6263F"/>
    <w:rsid w:val="00B64178"/>
    <w:rsid w:val="00B67114"/>
    <w:rsid w:val="00B702D7"/>
    <w:rsid w:val="00B71C3A"/>
    <w:rsid w:val="00B75449"/>
    <w:rsid w:val="00B75F36"/>
    <w:rsid w:val="00B823F6"/>
    <w:rsid w:val="00B83831"/>
    <w:rsid w:val="00B93463"/>
    <w:rsid w:val="00B94CCB"/>
    <w:rsid w:val="00BA26B3"/>
    <w:rsid w:val="00BA3FFF"/>
    <w:rsid w:val="00BA4003"/>
    <w:rsid w:val="00BA527C"/>
    <w:rsid w:val="00BA67CA"/>
    <w:rsid w:val="00BA6F7B"/>
    <w:rsid w:val="00BB02CB"/>
    <w:rsid w:val="00BB5D6B"/>
    <w:rsid w:val="00BB5E15"/>
    <w:rsid w:val="00BB7494"/>
    <w:rsid w:val="00BB778C"/>
    <w:rsid w:val="00BC0431"/>
    <w:rsid w:val="00BC19B9"/>
    <w:rsid w:val="00BC1C91"/>
    <w:rsid w:val="00BD0FBA"/>
    <w:rsid w:val="00BD7B7F"/>
    <w:rsid w:val="00BE07A9"/>
    <w:rsid w:val="00BE0A4E"/>
    <w:rsid w:val="00BE33D1"/>
    <w:rsid w:val="00BF4FCD"/>
    <w:rsid w:val="00BF5230"/>
    <w:rsid w:val="00BF7EE4"/>
    <w:rsid w:val="00C01161"/>
    <w:rsid w:val="00C1090C"/>
    <w:rsid w:val="00C23C73"/>
    <w:rsid w:val="00C240C8"/>
    <w:rsid w:val="00C26513"/>
    <w:rsid w:val="00C37F72"/>
    <w:rsid w:val="00C420C1"/>
    <w:rsid w:val="00C4525F"/>
    <w:rsid w:val="00C45963"/>
    <w:rsid w:val="00C472B8"/>
    <w:rsid w:val="00C477E6"/>
    <w:rsid w:val="00C53124"/>
    <w:rsid w:val="00C53B2E"/>
    <w:rsid w:val="00C53B49"/>
    <w:rsid w:val="00C53FFD"/>
    <w:rsid w:val="00C55080"/>
    <w:rsid w:val="00C6160A"/>
    <w:rsid w:val="00C64326"/>
    <w:rsid w:val="00C65570"/>
    <w:rsid w:val="00C67CCD"/>
    <w:rsid w:val="00C7484C"/>
    <w:rsid w:val="00C753F3"/>
    <w:rsid w:val="00C76ECD"/>
    <w:rsid w:val="00C83C75"/>
    <w:rsid w:val="00C84763"/>
    <w:rsid w:val="00C848E6"/>
    <w:rsid w:val="00C84E04"/>
    <w:rsid w:val="00C8791A"/>
    <w:rsid w:val="00C909AA"/>
    <w:rsid w:val="00C910BE"/>
    <w:rsid w:val="00C9130D"/>
    <w:rsid w:val="00C922BE"/>
    <w:rsid w:val="00C92F76"/>
    <w:rsid w:val="00C94FD0"/>
    <w:rsid w:val="00C951AE"/>
    <w:rsid w:val="00CA5844"/>
    <w:rsid w:val="00CA7415"/>
    <w:rsid w:val="00CB2177"/>
    <w:rsid w:val="00CB265C"/>
    <w:rsid w:val="00CB4FEB"/>
    <w:rsid w:val="00CB7A07"/>
    <w:rsid w:val="00CC457C"/>
    <w:rsid w:val="00CC59BB"/>
    <w:rsid w:val="00CD635D"/>
    <w:rsid w:val="00CD7CED"/>
    <w:rsid w:val="00CE04C7"/>
    <w:rsid w:val="00CF09B7"/>
    <w:rsid w:val="00CF156B"/>
    <w:rsid w:val="00CF1E02"/>
    <w:rsid w:val="00CF2D68"/>
    <w:rsid w:val="00CF2F47"/>
    <w:rsid w:val="00CF329B"/>
    <w:rsid w:val="00CF597A"/>
    <w:rsid w:val="00D0319A"/>
    <w:rsid w:val="00D032D5"/>
    <w:rsid w:val="00D05BAA"/>
    <w:rsid w:val="00D07FB9"/>
    <w:rsid w:val="00D10112"/>
    <w:rsid w:val="00D121B8"/>
    <w:rsid w:val="00D13B7A"/>
    <w:rsid w:val="00D22C4B"/>
    <w:rsid w:val="00D230C7"/>
    <w:rsid w:val="00D235DF"/>
    <w:rsid w:val="00D23E7D"/>
    <w:rsid w:val="00D2405F"/>
    <w:rsid w:val="00D24905"/>
    <w:rsid w:val="00D25FE3"/>
    <w:rsid w:val="00D30C7F"/>
    <w:rsid w:val="00D35D2A"/>
    <w:rsid w:val="00D41BA9"/>
    <w:rsid w:val="00D456F3"/>
    <w:rsid w:val="00D46250"/>
    <w:rsid w:val="00D52376"/>
    <w:rsid w:val="00D54CA1"/>
    <w:rsid w:val="00D57B9E"/>
    <w:rsid w:val="00D60F92"/>
    <w:rsid w:val="00D612C2"/>
    <w:rsid w:val="00D64080"/>
    <w:rsid w:val="00D66A2D"/>
    <w:rsid w:val="00D745E0"/>
    <w:rsid w:val="00D74CF9"/>
    <w:rsid w:val="00D76AA3"/>
    <w:rsid w:val="00D80604"/>
    <w:rsid w:val="00D858F8"/>
    <w:rsid w:val="00D86212"/>
    <w:rsid w:val="00D91FE4"/>
    <w:rsid w:val="00D9460E"/>
    <w:rsid w:val="00D952B8"/>
    <w:rsid w:val="00D95411"/>
    <w:rsid w:val="00DA086B"/>
    <w:rsid w:val="00DA0B92"/>
    <w:rsid w:val="00DA5225"/>
    <w:rsid w:val="00DA565F"/>
    <w:rsid w:val="00DA5E46"/>
    <w:rsid w:val="00DA7E05"/>
    <w:rsid w:val="00DB1007"/>
    <w:rsid w:val="00DB4794"/>
    <w:rsid w:val="00DB4BDE"/>
    <w:rsid w:val="00DB5457"/>
    <w:rsid w:val="00DB5C3E"/>
    <w:rsid w:val="00DB628E"/>
    <w:rsid w:val="00DD1761"/>
    <w:rsid w:val="00DD66DC"/>
    <w:rsid w:val="00DE1E3E"/>
    <w:rsid w:val="00DE4929"/>
    <w:rsid w:val="00DE4DC4"/>
    <w:rsid w:val="00DE5BEB"/>
    <w:rsid w:val="00DE7ABF"/>
    <w:rsid w:val="00DF2028"/>
    <w:rsid w:val="00DF3046"/>
    <w:rsid w:val="00DF348B"/>
    <w:rsid w:val="00DF39A9"/>
    <w:rsid w:val="00DF782C"/>
    <w:rsid w:val="00E023D0"/>
    <w:rsid w:val="00E02BE3"/>
    <w:rsid w:val="00E030A0"/>
    <w:rsid w:val="00E04FF7"/>
    <w:rsid w:val="00E124E3"/>
    <w:rsid w:val="00E1356C"/>
    <w:rsid w:val="00E1419D"/>
    <w:rsid w:val="00E14812"/>
    <w:rsid w:val="00E14F74"/>
    <w:rsid w:val="00E15DDE"/>
    <w:rsid w:val="00E2339E"/>
    <w:rsid w:val="00E2709C"/>
    <w:rsid w:val="00E308E8"/>
    <w:rsid w:val="00E3245B"/>
    <w:rsid w:val="00E34DF5"/>
    <w:rsid w:val="00E3707B"/>
    <w:rsid w:val="00E4024B"/>
    <w:rsid w:val="00E40CF1"/>
    <w:rsid w:val="00E4710C"/>
    <w:rsid w:val="00E50685"/>
    <w:rsid w:val="00E570D9"/>
    <w:rsid w:val="00E57F6B"/>
    <w:rsid w:val="00E64B94"/>
    <w:rsid w:val="00E654A2"/>
    <w:rsid w:val="00E71934"/>
    <w:rsid w:val="00E7342C"/>
    <w:rsid w:val="00E81737"/>
    <w:rsid w:val="00E8198D"/>
    <w:rsid w:val="00E873EA"/>
    <w:rsid w:val="00E91EC1"/>
    <w:rsid w:val="00E947AE"/>
    <w:rsid w:val="00E95ABA"/>
    <w:rsid w:val="00EA010E"/>
    <w:rsid w:val="00EA4561"/>
    <w:rsid w:val="00EB0588"/>
    <w:rsid w:val="00EB0E2D"/>
    <w:rsid w:val="00EB1E33"/>
    <w:rsid w:val="00EB215E"/>
    <w:rsid w:val="00EB2F99"/>
    <w:rsid w:val="00EB4AA3"/>
    <w:rsid w:val="00EB706C"/>
    <w:rsid w:val="00EC0215"/>
    <w:rsid w:val="00EC029D"/>
    <w:rsid w:val="00EC0881"/>
    <w:rsid w:val="00EC3AB1"/>
    <w:rsid w:val="00ED05EA"/>
    <w:rsid w:val="00ED0742"/>
    <w:rsid w:val="00ED216E"/>
    <w:rsid w:val="00ED579F"/>
    <w:rsid w:val="00EE061A"/>
    <w:rsid w:val="00EE30AF"/>
    <w:rsid w:val="00EE67BB"/>
    <w:rsid w:val="00EE68E4"/>
    <w:rsid w:val="00EF2477"/>
    <w:rsid w:val="00F009EC"/>
    <w:rsid w:val="00F06551"/>
    <w:rsid w:val="00F06D97"/>
    <w:rsid w:val="00F10932"/>
    <w:rsid w:val="00F11A47"/>
    <w:rsid w:val="00F134B1"/>
    <w:rsid w:val="00F13738"/>
    <w:rsid w:val="00F169C3"/>
    <w:rsid w:val="00F16EFC"/>
    <w:rsid w:val="00F1718E"/>
    <w:rsid w:val="00F20FF1"/>
    <w:rsid w:val="00F25205"/>
    <w:rsid w:val="00F2777C"/>
    <w:rsid w:val="00F31987"/>
    <w:rsid w:val="00F35457"/>
    <w:rsid w:val="00F3595B"/>
    <w:rsid w:val="00F36398"/>
    <w:rsid w:val="00F4097C"/>
    <w:rsid w:val="00F426A6"/>
    <w:rsid w:val="00F429FD"/>
    <w:rsid w:val="00F449C4"/>
    <w:rsid w:val="00F538D9"/>
    <w:rsid w:val="00F5531F"/>
    <w:rsid w:val="00F56399"/>
    <w:rsid w:val="00F63953"/>
    <w:rsid w:val="00F6510D"/>
    <w:rsid w:val="00F65545"/>
    <w:rsid w:val="00F6689A"/>
    <w:rsid w:val="00F7213B"/>
    <w:rsid w:val="00F725B2"/>
    <w:rsid w:val="00F7298D"/>
    <w:rsid w:val="00F7750A"/>
    <w:rsid w:val="00F80006"/>
    <w:rsid w:val="00F80084"/>
    <w:rsid w:val="00F81663"/>
    <w:rsid w:val="00F85A30"/>
    <w:rsid w:val="00F92045"/>
    <w:rsid w:val="00F95676"/>
    <w:rsid w:val="00F96A73"/>
    <w:rsid w:val="00FA0979"/>
    <w:rsid w:val="00FA5828"/>
    <w:rsid w:val="00FB3FC5"/>
    <w:rsid w:val="00FB4BA6"/>
    <w:rsid w:val="00FC3EBE"/>
    <w:rsid w:val="00FC66C2"/>
    <w:rsid w:val="00FC6F58"/>
    <w:rsid w:val="00FC6FA8"/>
    <w:rsid w:val="00FD2470"/>
    <w:rsid w:val="00FD26B5"/>
    <w:rsid w:val="00FD5823"/>
    <w:rsid w:val="00FE1B42"/>
    <w:rsid w:val="00FE1C27"/>
    <w:rsid w:val="00FE215B"/>
    <w:rsid w:val="00FE5C31"/>
    <w:rsid w:val="00FE68B1"/>
    <w:rsid w:val="00FF25BA"/>
    <w:rsid w:val="00FF3BC9"/>
    <w:rsid w:val="00FF748B"/>
    <w:rsid w:val="00FF7623"/>
    <w:rsid w:val="01153332"/>
    <w:rsid w:val="01324069"/>
    <w:rsid w:val="01575666"/>
    <w:rsid w:val="02193F00"/>
    <w:rsid w:val="02813EAF"/>
    <w:rsid w:val="037F1AAB"/>
    <w:rsid w:val="03DC7D0F"/>
    <w:rsid w:val="041B280B"/>
    <w:rsid w:val="0480254A"/>
    <w:rsid w:val="04886109"/>
    <w:rsid w:val="04D46D43"/>
    <w:rsid w:val="04D915A0"/>
    <w:rsid w:val="06314567"/>
    <w:rsid w:val="067E0303"/>
    <w:rsid w:val="06AE527D"/>
    <w:rsid w:val="074858AB"/>
    <w:rsid w:val="084560A8"/>
    <w:rsid w:val="08C52A1E"/>
    <w:rsid w:val="09497E1A"/>
    <w:rsid w:val="0B2E5180"/>
    <w:rsid w:val="0B646ACD"/>
    <w:rsid w:val="0B7E6900"/>
    <w:rsid w:val="0C3E178C"/>
    <w:rsid w:val="0CB32EDF"/>
    <w:rsid w:val="0E4F3E2C"/>
    <w:rsid w:val="0F4672D5"/>
    <w:rsid w:val="0FB0422F"/>
    <w:rsid w:val="107752B0"/>
    <w:rsid w:val="11A92009"/>
    <w:rsid w:val="121B28D0"/>
    <w:rsid w:val="123471BE"/>
    <w:rsid w:val="12D62551"/>
    <w:rsid w:val="13723F7D"/>
    <w:rsid w:val="148B52F7"/>
    <w:rsid w:val="14C679F7"/>
    <w:rsid w:val="14CD18FF"/>
    <w:rsid w:val="151A451B"/>
    <w:rsid w:val="188A04FE"/>
    <w:rsid w:val="1922203D"/>
    <w:rsid w:val="19232435"/>
    <w:rsid w:val="19925EF3"/>
    <w:rsid w:val="1ABD3F8C"/>
    <w:rsid w:val="1BA4182E"/>
    <w:rsid w:val="1C746C70"/>
    <w:rsid w:val="1DCD312B"/>
    <w:rsid w:val="1DF1193F"/>
    <w:rsid w:val="1EBA4A39"/>
    <w:rsid w:val="1FC25723"/>
    <w:rsid w:val="2044176B"/>
    <w:rsid w:val="20DB2365"/>
    <w:rsid w:val="213B5E42"/>
    <w:rsid w:val="21E738ED"/>
    <w:rsid w:val="2221772E"/>
    <w:rsid w:val="235040EC"/>
    <w:rsid w:val="24531BA7"/>
    <w:rsid w:val="245B32B8"/>
    <w:rsid w:val="24CE594B"/>
    <w:rsid w:val="25F15DB5"/>
    <w:rsid w:val="266A7FA7"/>
    <w:rsid w:val="270556DE"/>
    <w:rsid w:val="275D29D0"/>
    <w:rsid w:val="27BD5FEC"/>
    <w:rsid w:val="28B44DAE"/>
    <w:rsid w:val="28D9624D"/>
    <w:rsid w:val="2B286BC5"/>
    <w:rsid w:val="2C2D2523"/>
    <w:rsid w:val="2D174F53"/>
    <w:rsid w:val="2E560383"/>
    <w:rsid w:val="2EE265D5"/>
    <w:rsid w:val="2F030788"/>
    <w:rsid w:val="2F2E6B17"/>
    <w:rsid w:val="2F57706B"/>
    <w:rsid w:val="2FFD411D"/>
    <w:rsid w:val="310E761B"/>
    <w:rsid w:val="31F167D5"/>
    <w:rsid w:val="32427714"/>
    <w:rsid w:val="33060643"/>
    <w:rsid w:val="33C47C04"/>
    <w:rsid w:val="34356827"/>
    <w:rsid w:val="361E4B80"/>
    <w:rsid w:val="364D41F6"/>
    <w:rsid w:val="36EA2EF3"/>
    <w:rsid w:val="38627659"/>
    <w:rsid w:val="387121CF"/>
    <w:rsid w:val="38991974"/>
    <w:rsid w:val="39E61C0D"/>
    <w:rsid w:val="3AC145EF"/>
    <w:rsid w:val="3ADA274A"/>
    <w:rsid w:val="3B0D2CD2"/>
    <w:rsid w:val="3B26630E"/>
    <w:rsid w:val="3CC01BC6"/>
    <w:rsid w:val="3D396C7C"/>
    <w:rsid w:val="3DEE6A01"/>
    <w:rsid w:val="3E8D1015"/>
    <w:rsid w:val="3F081602"/>
    <w:rsid w:val="3F8D26C2"/>
    <w:rsid w:val="3FDA33E7"/>
    <w:rsid w:val="40D55514"/>
    <w:rsid w:val="410F60FC"/>
    <w:rsid w:val="412924D1"/>
    <w:rsid w:val="414C48A8"/>
    <w:rsid w:val="424610C6"/>
    <w:rsid w:val="42E65F35"/>
    <w:rsid w:val="4311195E"/>
    <w:rsid w:val="43B80720"/>
    <w:rsid w:val="43D60546"/>
    <w:rsid w:val="43D7786D"/>
    <w:rsid w:val="43E9770F"/>
    <w:rsid w:val="44637395"/>
    <w:rsid w:val="44B518E4"/>
    <w:rsid w:val="453B2F1D"/>
    <w:rsid w:val="45796DB6"/>
    <w:rsid w:val="461F6313"/>
    <w:rsid w:val="467F246E"/>
    <w:rsid w:val="47261108"/>
    <w:rsid w:val="49B20AE8"/>
    <w:rsid w:val="4A0C2326"/>
    <w:rsid w:val="4AA85A47"/>
    <w:rsid w:val="4C1F1272"/>
    <w:rsid w:val="4E3F2D9E"/>
    <w:rsid w:val="4E4D5283"/>
    <w:rsid w:val="4E537DF0"/>
    <w:rsid w:val="504005C3"/>
    <w:rsid w:val="516B67C4"/>
    <w:rsid w:val="51BB25F2"/>
    <w:rsid w:val="51DD330A"/>
    <w:rsid w:val="522B2110"/>
    <w:rsid w:val="52707792"/>
    <w:rsid w:val="531E68CD"/>
    <w:rsid w:val="53670A8A"/>
    <w:rsid w:val="537B019D"/>
    <w:rsid w:val="5454111A"/>
    <w:rsid w:val="545C6AF1"/>
    <w:rsid w:val="558D41B7"/>
    <w:rsid w:val="562105E9"/>
    <w:rsid w:val="567A0BDF"/>
    <w:rsid w:val="58B3039D"/>
    <w:rsid w:val="58DD3755"/>
    <w:rsid w:val="59D9651C"/>
    <w:rsid w:val="5AB1340E"/>
    <w:rsid w:val="5BC4469F"/>
    <w:rsid w:val="5BD75000"/>
    <w:rsid w:val="5C1A7C3F"/>
    <w:rsid w:val="5C6A5252"/>
    <w:rsid w:val="5C981315"/>
    <w:rsid w:val="5D1B313B"/>
    <w:rsid w:val="5DC67B10"/>
    <w:rsid w:val="5DF03535"/>
    <w:rsid w:val="5E0737C3"/>
    <w:rsid w:val="5E910B3F"/>
    <w:rsid w:val="5EB6598E"/>
    <w:rsid w:val="603C06CE"/>
    <w:rsid w:val="62683FE2"/>
    <w:rsid w:val="62E96ED1"/>
    <w:rsid w:val="64FE4A36"/>
    <w:rsid w:val="666A0BEA"/>
    <w:rsid w:val="674C7A2E"/>
    <w:rsid w:val="68294213"/>
    <w:rsid w:val="685F5F92"/>
    <w:rsid w:val="6A813E48"/>
    <w:rsid w:val="6CBE6FCA"/>
    <w:rsid w:val="6FD83B1D"/>
    <w:rsid w:val="704B6F95"/>
    <w:rsid w:val="72026C0C"/>
    <w:rsid w:val="721C3F61"/>
    <w:rsid w:val="72365F1C"/>
    <w:rsid w:val="7334125A"/>
    <w:rsid w:val="75123F8E"/>
    <w:rsid w:val="75175B20"/>
    <w:rsid w:val="75680F80"/>
    <w:rsid w:val="75B72E5F"/>
    <w:rsid w:val="76AB6494"/>
    <w:rsid w:val="77054220"/>
    <w:rsid w:val="77952ED9"/>
    <w:rsid w:val="789E5CA1"/>
    <w:rsid w:val="79094EA7"/>
    <w:rsid w:val="7A394F81"/>
    <w:rsid w:val="7ABD2CC5"/>
    <w:rsid w:val="7DC75C09"/>
    <w:rsid w:val="7F0A04A3"/>
    <w:rsid w:val="7F3379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link w:val="68"/>
    <w:qFormat/>
    <w:uiPriority w:val="0"/>
    <w:pPr>
      <w:keepNext/>
      <w:snapToGrid w:val="0"/>
      <w:spacing w:before="100" w:beforeLines="100" w:line="360" w:lineRule="auto"/>
      <w:jc w:val="center"/>
      <w:outlineLvl w:val="0"/>
    </w:pPr>
    <w:rPr>
      <w:rFonts w:ascii="宋体" w:hAnsi="宋体" w:eastAsia="宋体"/>
      <w:sz w:val="32"/>
    </w:rPr>
  </w:style>
  <w:style w:type="paragraph" w:styleId="3">
    <w:name w:val="heading 2"/>
    <w:basedOn w:val="1"/>
    <w:next w:val="1"/>
    <w:link w:val="69"/>
    <w:qFormat/>
    <w:uiPriority w:val="0"/>
    <w:pPr>
      <w:keepNext/>
      <w:keepLines/>
      <w:spacing w:before="260" w:beforeLines="0" w:beforeAutospacing="0" w:after="260" w:afterLines="0" w:afterAutospacing="0" w:line="413" w:lineRule="auto"/>
      <w:jc w:val="left"/>
      <w:outlineLvl w:val="1"/>
    </w:pPr>
    <w:rPr>
      <w:rFonts w:eastAsia="黑体"/>
      <w:sz w:val="32"/>
    </w:rPr>
  </w:style>
  <w:style w:type="paragraph" w:styleId="4">
    <w:name w:val="heading 3"/>
    <w:basedOn w:val="1"/>
    <w:next w:val="1"/>
    <w:link w:val="70"/>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pPr>
    <w:rPr>
      <w:rFonts w:ascii="Arial" w:hAnsi="Arial"/>
      <w:sz w:val="24"/>
    </w:rPr>
  </w:style>
  <w:style w:type="paragraph" w:styleId="19">
    <w:name w:val="annotation text"/>
    <w:basedOn w:val="1"/>
    <w:link w:val="71"/>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numPr>
        <w:ilvl w:val="0"/>
        <w:numId w:val="3"/>
      </w:numPr>
      <w:adjustRightInd w:val="0"/>
      <w:snapToGrid w:val="0"/>
      <w:spacing w:line="360" w:lineRule="auto"/>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72"/>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afterLines="0" w:afterAutospacing="0" w:line="360" w:lineRule="auto"/>
      <w:ind w:left="420" w:leftChars="200"/>
    </w:pPr>
    <w:rPr>
      <w:sz w:val="24"/>
    </w:rPr>
  </w:style>
  <w:style w:type="paragraph" w:styleId="27">
    <w:name w:val="List Bullet 2"/>
    <w:basedOn w:val="1"/>
    <w:qFormat/>
    <w:uiPriority w:val="0"/>
    <w:pPr>
      <w:numPr>
        <w:ilvl w:val="0"/>
        <w:numId w:val="4"/>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73"/>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74"/>
    <w:qFormat/>
    <w:uiPriority w:val="0"/>
  </w:style>
  <w:style w:type="paragraph" w:styleId="33">
    <w:name w:val="Body Text Indent 2"/>
    <w:basedOn w:val="1"/>
    <w:link w:val="75"/>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qFormat/>
    <w:uiPriority w:val="0"/>
    <w:pPr>
      <w:tabs>
        <w:tab w:val="center" w:pos="4153"/>
        <w:tab w:val="right" w:pos="8306"/>
      </w:tabs>
      <w:snapToGrid w:val="0"/>
      <w:jc w:val="left"/>
    </w:pPr>
    <w:rPr>
      <w:sz w:val="18"/>
    </w:rPr>
  </w:style>
  <w:style w:type="paragraph" w:styleId="36">
    <w:name w:val="header"/>
    <w:basedOn w:val="1"/>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39"/>
    <w:pPr>
      <w:spacing w:line="180" w:lineRule="auto"/>
      <w:jc w:val="center"/>
    </w:pPr>
    <w:rPr>
      <w:sz w:val="30"/>
    </w:rPr>
  </w:style>
  <w:style w:type="paragraph" w:styleId="38">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39">
    <w:name w:val="toc 4"/>
    <w:basedOn w:val="1"/>
    <w:next w:val="1"/>
    <w:qFormat/>
    <w:uiPriority w:val="0"/>
    <w:pPr>
      <w:ind w:left="1260" w:leftChars="600"/>
    </w:pPr>
  </w:style>
  <w:style w:type="paragraph" w:styleId="40">
    <w:name w:val="Subtitle"/>
    <w:basedOn w:val="1"/>
    <w:next w:val="1"/>
    <w:qFormat/>
    <w:uiPriority w:val="0"/>
    <w:pPr>
      <w:widowControl w:val="0"/>
      <w:spacing w:before="240" w:after="60" w:line="312" w:lineRule="auto"/>
      <w:jc w:val="center"/>
      <w:outlineLvl w:val="1"/>
    </w:pPr>
    <w:rPr>
      <w:rFonts w:ascii="Arial" w:hAnsi="Arial" w:cs="Arial"/>
      <w:b/>
      <w:bCs/>
      <w:kern w:val="28"/>
      <w:sz w:val="32"/>
      <w:szCs w:val="32"/>
      <w:lang w:val="en-US" w:eastAsia="zh-CN" w:bidi="ar-SA"/>
    </w:rPr>
  </w:style>
  <w:style w:type="paragraph" w:styleId="41">
    <w:name w:val="footnote text"/>
    <w:basedOn w:val="1"/>
    <w:link w:val="76"/>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2">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55">
    <w:name w:val="annotation subject"/>
    <w:basedOn w:val="19"/>
    <w:next w:val="19"/>
    <w:link w:val="77"/>
    <w:qFormat/>
    <w:uiPriority w:val="0"/>
    <w:pPr>
      <w:adjustRightInd/>
      <w:spacing w:line="240" w:lineRule="auto"/>
      <w:textAlignment w:val="auto"/>
    </w:pPr>
  </w:style>
  <w:style w:type="paragraph" w:styleId="56">
    <w:name w:val="Body Text First Indent"/>
    <w:basedOn w:val="1"/>
    <w:next w:val="1"/>
    <w:qFormat/>
    <w:uiPriority w:val="0"/>
    <w:pPr>
      <w:spacing w:line="360" w:lineRule="auto"/>
      <w:ind w:firstLine="420"/>
    </w:pPr>
    <w:rPr>
      <w:rFonts w:ascii="宋体" w:hAnsi="宋体"/>
      <w:sz w:val="24"/>
    </w:rPr>
  </w:style>
  <w:style w:type="paragraph" w:styleId="57">
    <w:name w:val="Body Text First Indent 2"/>
    <w:basedOn w:val="23"/>
    <w:link w:val="78"/>
    <w:qFormat/>
    <w:uiPriority w:val="0"/>
    <w:pPr>
      <w:spacing w:after="120" w:afterLines="0" w:line="240" w:lineRule="auto"/>
      <w:ind w:left="420" w:leftChars="200" w:firstLine="420" w:firstLineChars="200"/>
    </w:pPr>
  </w:style>
  <w:style w:type="table" w:styleId="59">
    <w:name w:val="Table Grid"/>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character" w:customStyle="1" w:styleId="68">
    <w:name w:val="标题 1 Char"/>
    <w:link w:val="2"/>
    <w:qFormat/>
    <w:uiPriority w:val="0"/>
    <w:rPr>
      <w:rFonts w:ascii="宋体" w:hAnsi="宋体" w:eastAsia="宋体"/>
      <w:b/>
      <w:sz w:val="32"/>
    </w:rPr>
  </w:style>
  <w:style w:type="character" w:customStyle="1" w:styleId="69">
    <w:name w:val="标题 2 Char"/>
    <w:link w:val="3"/>
    <w:qFormat/>
    <w:uiPriority w:val="0"/>
    <w:rPr>
      <w:rFonts w:ascii="Arial" w:hAnsi="Arial" w:eastAsia="黑体"/>
      <w:b/>
      <w:kern w:val="2"/>
      <w:sz w:val="32"/>
    </w:rPr>
  </w:style>
  <w:style w:type="character" w:customStyle="1" w:styleId="70">
    <w:name w:val="标题 3 Char"/>
    <w:link w:val="4"/>
    <w:qFormat/>
    <w:uiPriority w:val="0"/>
    <w:rPr>
      <w:rFonts w:eastAsia="宋体"/>
      <w:b/>
      <w:kern w:val="2"/>
      <w:sz w:val="32"/>
      <w:lang w:val="en-US" w:eastAsia="zh-CN"/>
    </w:rPr>
  </w:style>
  <w:style w:type="character" w:customStyle="1" w:styleId="71">
    <w:name w:val="批注文字 Char"/>
    <w:link w:val="19"/>
    <w:qFormat/>
    <w:uiPriority w:val="0"/>
    <w:rPr>
      <w:sz w:val="24"/>
    </w:rPr>
  </w:style>
  <w:style w:type="character" w:customStyle="1" w:styleId="72">
    <w:name w:val="正文文本缩进 Char"/>
    <w:link w:val="23"/>
    <w:qFormat/>
    <w:uiPriority w:val="0"/>
    <w:rPr>
      <w:kern w:val="2"/>
      <w:sz w:val="44"/>
    </w:rPr>
  </w:style>
  <w:style w:type="character" w:customStyle="1" w:styleId="73">
    <w:name w:val="纯文本 Char"/>
    <w:link w:val="30"/>
    <w:qFormat/>
    <w:uiPriority w:val="0"/>
    <w:rPr>
      <w:rFonts w:ascii="宋体" w:hAnsi="Courier New"/>
      <w:kern w:val="2"/>
      <w:sz w:val="21"/>
    </w:rPr>
  </w:style>
  <w:style w:type="character" w:customStyle="1" w:styleId="74">
    <w:name w:val="日期 Char"/>
    <w:link w:val="32"/>
    <w:qFormat/>
    <w:uiPriority w:val="0"/>
    <w:rPr>
      <w:kern w:val="2"/>
      <w:sz w:val="28"/>
    </w:rPr>
  </w:style>
  <w:style w:type="character" w:customStyle="1" w:styleId="75">
    <w:name w:val="正文文本缩进 2 Char"/>
    <w:link w:val="33"/>
    <w:qFormat/>
    <w:uiPriority w:val="0"/>
    <w:rPr>
      <w:kern w:val="2"/>
      <w:sz w:val="28"/>
    </w:rPr>
  </w:style>
  <w:style w:type="character" w:customStyle="1" w:styleId="76">
    <w:name w:val="脚注文本 Char"/>
    <w:link w:val="41"/>
    <w:qFormat/>
    <w:uiPriority w:val="0"/>
    <w:rPr>
      <w:kern w:val="2"/>
      <w:sz w:val="18"/>
    </w:rPr>
  </w:style>
  <w:style w:type="character" w:customStyle="1" w:styleId="77">
    <w:name w:val="批注主题 Char"/>
    <w:link w:val="55"/>
    <w:qFormat/>
    <w:uiPriority w:val="0"/>
  </w:style>
  <w:style w:type="character" w:customStyle="1" w:styleId="78">
    <w:name w:val="正文首行缩进 2 Char"/>
    <w:link w:val="57"/>
    <w:qFormat/>
    <w:uiPriority w:val="0"/>
  </w:style>
  <w:style w:type="character" w:customStyle="1" w:styleId="79">
    <w:name w:val="content-white1"/>
    <w:qFormat/>
    <w:uiPriority w:val="0"/>
    <w:rPr>
      <w:rFonts w:ascii="_x000B__x000C_" w:hAnsi="_x000B__x000C_"/>
      <w:color w:val="auto"/>
      <w:sz w:val="18"/>
      <w:u w:val="none"/>
    </w:rPr>
  </w:style>
  <w:style w:type="character" w:customStyle="1" w:styleId="80">
    <w:name w:val=" Char Char3"/>
    <w:qFormat/>
    <w:uiPriority w:val="0"/>
    <w:rPr>
      <w:rFonts w:eastAsia="宋体"/>
      <w:kern w:val="2"/>
      <w:sz w:val="18"/>
      <w:lang w:val="en-US" w:eastAsia="zh-CN"/>
    </w:rPr>
  </w:style>
  <w:style w:type="character" w:customStyle="1" w:styleId="81">
    <w:name w:val="Table Text Char Char Char Char"/>
    <w:link w:val="82"/>
    <w:qFormat/>
    <w:uiPriority w:val="0"/>
    <w:rPr>
      <w:rFonts w:ascii="Arial" w:hAnsi="Arial"/>
      <w:kern w:val="2"/>
      <w:sz w:val="18"/>
      <w:lang w:val="en-US" w:eastAsia="zh-CN" w:bidi="ar-SA"/>
    </w:rPr>
  </w:style>
  <w:style w:type="paragraph" w:customStyle="1" w:styleId="82">
    <w:name w:val="Table Text Char Char Char"/>
    <w:link w:val="81"/>
    <w:qFormat/>
    <w:uiPriority w:val="0"/>
    <w:pPr>
      <w:snapToGrid w:val="0"/>
      <w:spacing w:before="80" w:after="80"/>
    </w:pPr>
    <w:rPr>
      <w:rFonts w:ascii="Arial" w:hAnsi="Arial" w:eastAsia="宋体" w:cs="Times New Roman"/>
      <w:kern w:val="2"/>
      <w:sz w:val="18"/>
      <w:lang w:val="en-US" w:eastAsia="zh-CN" w:bidi="ar-SA"/>
    </w:rPr>
  </w:style>
  <w:style w:type="character" w:customStyle="1" w:styleId="83">
    <w:name w:val=" Char Char7"/>
    <w:qFormat/>
    <w:uiPriority w:val="0"/>
    <w:rPr>
      <w:rFonts w:ascii="宋体" w:hAnsi="宋体" w:eastAsia="宋体"/>
      <w:kern w:val="2"/>
      <w:sz w:val="28"/>
    </w:rPr>
  </w:style>
  <w:style w:type="character" w:customStyle="1" w:styleId="84">
    <w:name w:val="未命名11"/>
    <w:qFormat/>
    <w:uiPriority w:val="0"/>
    <w:rPr>
      <w:color w:val="77FFFF"/>
      <w:sz w:val="24"/>
    </w:rPr>
  </w:style>
  <w:style w:type="character" w:customStyle="1" w:styleId="85">
    <w:name w:val="小 Char"/>
    <w:qFormat/>
    <w:uiPriority w:val="0"/>
    <w:rPr>
      <w:rFonts w:ascii="宋体" w:hAnsi="Courier New" w:eastAsia="宋体"/>
      <w:kern w:val="2"/>
      <w:sz w:val="21"/>
      <w:lang w:val="en-US" w:eastAsia="zh-CN" w:bidi="ar-SA"/>
    </w:rPr>
  </w:style>
  <w:style w:type="character" w:customStyle="1" w:styleId="86">
    <w:name w:val="文字 Char"/>
    <w:link w:val="87"/>
    <w:qFormat/>
    <w:uiPriority w:val="0"/>
    <w:rPr>
      <w:rFonts w:ascii="宋体"/>
      <w:kern w:val="2"/>
      <w:sz w:val="28"/>
    </w:rPr>
  </w:style>
  <w:style w:type="paragraph" w:customStyle="1" w:styleId="87">
    <w:name w:val="文字"/>
    <w:basedOn w:val="1"/>
    <w:link w:val="86"/>
    <w:qFormat/>
    <w:uiPriority w:val="0"/>
    <w:pPr>
      <w:tabs>
        <w:tab w:val="left" w:pos="8520"/>
      </w:tabs>
      <w:spacing w:line="312" w:lineRule="auto"/>
      <w:ind w:right="-210" w:firstLine="556"/>
    </w:pPr>
    <w:rPr>
      <w:rFonts w:ascii="宋体"/>
    </w:rPr>
  </w:style>
  <w:style w:type="character" w:customStyle="1" w:styleId="88">
    <w:name w:val="v151"/>
    <w:qFormat/>
    <w:uiPriority w:val="0"/>
    <w:rPr>
      <w:sz w:val="18"/>
    </w:rPr>
  </w:style>
  <w:style w:type="character" w:customStyle="1" w:styleId="89">
    <w:name w:val=" Char Char2"/>
    <w:qFormat/>
    <w:uiPriority w:val="0"/>
    <w:rPr>
      <w:rFonts w:eastAsia="宋体"/>
      <w:kern w:val="2"/>
      <w:sz w:val="18"/>
      <w:lang w:val="en-US" w:eastAsia="zh-CN"/>
    </w:rPr>
  </w:style>
  <w:style w:type="character" w:customStyle="1" w:styleId="90">
    <w:name w:val="Table Text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Table Heading Char Char"/>
    <w:qFormat/>
    <w:uiPriority w:val="0"/>
    <w:rPr>
      <w:rFonts w:ascii="Arial" w:hAnsi="Arial" w:eastAsia="黑体"/>
      <w:kern w:val="2"/>
      <w:sz w:val="18"/>
      <w:lang w:val="en-US" w:eastAsia="zh-CN"/>
    </w:rPr>
  </w:style>
  <w:style w:type="character" w:customStyle="1" w:styleId="93">
    <w:name w:val=" Char Char11"/>
    <w:qFormat/>
    <w:uiPriority w:val="0"/>
    <w:rPr>
      <w:rFonts w:ascii="宋体"/>
      <w:kern w:val="2"/>
      <w:sz w:val="28"/>
    </w:rPr>
  </w:style>
  <w:style w:type="character" w:customStyle="1" w:styleId="94">
    <w:name w:val="样式 宋体"/>
    <w:qFormat/>
    <w:uiPriority w:val="0"/>
    <w:rPr>
      <w:rFonts w:ascii="宋体" w:hAnsi="宋体" w:eastAsia="宋体"/>
      <w:sz w:val="28"/>
    </w:rPr>
  </w:style>
  <w:style w:type="character" w:customStyle="1" w:styleId="95">
    <w:name w:val="正文 + 三号 Char"/>
    <w:qFormat/>
    <w:uiPriority w:val="0"/>
    <w:rPr>
      <w:rFonts w:eastAsia="宋体"/>
      <w:kern w:val="2"/>
      <w:sz w:val="21"/>
      <w:lang w:val="en-US" w:eastAsia="zh-CN"/>
    </w:rPr>
  </w:style>
  <w:style w:type="character" w:customStyle="1" w:styleId="96">
    <w:name w:val="crowed11"/>
    <w:qFormat/>
    <w:uiPriority w:val="0"/>
    <w:rPr>
      <w:rFonts w:hint="default" w:ascii="_x000B__x000C_" w:hAnsi="_x000B__x000C_"/>
      <w:sz w:val="24"/>
    </w:rPr>
  </w:style>
  <w:style w:type="character" w:customStyle="1" w:styleId="97">
    <w:name w:val="font1"/>
    <w:qFormat/>
    <w:uiPriority w:val="0"/>
    <w:rPr>
      <w:color w:val="000000"/>
      <w:sz w:val="18"/>
    </w:rPr>
  </w:style>
  <w:style w:type="character" w:customStyle="1" w:styleId="98">
    <w:name w:val="H2 Char"/>
    <w:qFormat/>
    <w:uiPriority w:val="0"/>
    <w:rPr>
      <w:rFonts w:ascii="Arial" w:hAnsi="Arial" w:eastAsia="宋体"/>
      <w:kern w:val="2"/>
      <w:sz w:val="28"/>
      <w:lang w:val="en-US" w:eastAsia="zh-CN"/>
    </w:rPr>
  </w:style>
  <w:style w:type="character" w:customStyle="1" w:styleId="99">
    <w:name w:val=" Char Char4"/>
    <w:qFormat/>
    <w:uiPriority w:val="0"/>
    <w:rPr>
      <w:rFonts w:eastAsia="宋体"/>
      <w:b/>
      <w:kern w:val="2"/>
      <w:sz w:val="21"/>
      <w:lang w:val="en-US" w:eastAsia="zh-CN"/>
    </w:rPr>
  </w:style>
  <w:style w:type="character" w:customStyle="1" w:styleId="100">
    <w:name w:val="title_emph1"/>
    <w:qFormat/>
    <w:uiPriority w:val="0"/>
    <w:rPr>
      <w:rFonts w:hint="default" w:ascii="Arial" w:hAnsi="Arial"/>
      <w:b/>
      <w:sz w:val="20"/>
    </w:rPr>
  </w:style>
  <w:style w:type="character" w:customStyle="1" w:styleId="101">
    <w:name w:val=" Char Char6"/>
    <w:qFormat/>
    <w:uiPriority w:val="0"/>
    <w:rPr>
      <w:rFonts w:ascii="仿宋_GB2312" w:eastAsia="仿宋_GB2312"/>
      <w:kern w:val="2"/>
      <w:sz w:val="32"/>
    </w:rPr>
  </w:style>
  <w:style w:type="character" w:customStyle="1" w:styleId="102">
    <w:name w:val="top-det1"/>
    <w:qFormat/>
    <w:uiPriority w:val="0"/>
    <w:rPr>
      <w:b/>
      <w:color w:val="000000"/>
    </w:rPr>
  </w:style>
  <w:style w:type="character" w:customStyle="1" w:styleId="103">
    <w:name w:val=" Char Char5"/>
    <w:qFormat/>
    <w:uiPriority w:val="0"/>
    <w:rPr>
      <w:rFonts w:ascii="Arial" w:hAnsi="Arial" w:eastAsia="宋体"/>
      <w:b/>
      <w:smallCaps/>
      <w:kern w:val="28"/>
      <w:sz w:val="36"/>
      <w:lang w:val="en-US" w:eastAsia="en-US"/>
    </w:rPr>
  </w:style>
  <w:style w:type="character" w:customStyle="1" w:styleId="104">
    <w:name w:val="标书正文:  0.74 厘米 Char1"/>
    <w:qFormat/>
    <w:uiPriority w:val="0"/>
    <w:rPr>
      <w:rFonts w:eastAsia="宋体"/>
      <w:kern w:val="2"/>
      <w:sz w:val="24"/>
      <w:lang w:val="en-US" w:eastAsia="zh-CN"/>
    </w:rPr>
  </w:style>
  <w:style w:type="character" w:customStyle="1" w:styleId="105">
    <w:name w:val="Table Text Char1 Char"/>
    <w:qFormat/>
    <w:uiPriority w:val="0"/>
    <w:rPr>
      <w:rFonts w:ascii="Arial" w:hAnsi="Arial"/>
      <w:kern w:val="2"/>
      <w:sz w:val="18"/>
      <w:lang w:val="en-US" w:eastAsia="zh-CN" w:bidi="ar-SA"/>
    </w:rPr>
  </w:style>
  <w:style w:type="character" w:customStyle="1" w:styleId="106">
    <w:name w:val=" Char Char"/>
    <w:qFormat/>
    <w:uiPriority w:val="0"/>
    <w:rPr>
      <w:rFonts w:ascii="宋体" w:hAnsi="宋体" w:eastAsia="宋体"/>
      <w:kern w:val="2"/>
      <w:sz w:val="24"/>
      <w:lang w:val="en-US" w:eastAsia="zh-CN" w:bidi="ar-SA"/>
    </w:rPr>
  </w:style>
  <w:style w:type="paragraph" w:customStyle="1" w:styleId="107">
    <w:name w:val="IN Feature"/>
    <w:next w:val="10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08">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09">
    <w:name w:val="表文字"/>
    <w:qFormat/>
    <w:uiPriority w:val="0"/>
    <w:rPr>
      <w:rFonts w:ascii="宋体" w:hAnsi="Times New Roman" w:eastAsia="宋体" w:cs="Times New Roman"/>
      <w:kern w:val="2"/>
      <w:lang w:val="en-US" w:eastAsia="zh-CN" w:bidi="ar-SA"/>
    </w:rPr>
  </w:style>
  <w:style w:type="paragraph" w:customStyle="1" w:styleId="110">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1">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2">
    <w:name w:val="Char1 Char Char Char"/>
    <w:basedOn w:val="1"/>
    <w:qFormat/>
    <w:uiPriority w:val="0"/>
    <w:rPr>
      <w:rFonts w:ascii="Tahoma" w:hAnsi="Tahoma"/>
      <w:sz w:val="30"/>
    </w:rPr>
  </w:style>
  <w:style w:type="paragraph" w:customStyle="1" w:styleId="113">
    <w:name w:val="二级列表"/>
    <w:basedOn w:val="114"/>
    <w:next w:val="114"/>
    <w:qFormat/>
    <w:uiPriority w:val="0"/>
    <w:pPr>
      <w:tabs>
        <w:tab w:val="left" w:pos="2120"/>
      </w:tabs>
      <w:ind w:firstLine="0" w:firstLineChars="0"/>
    </w:pPr>
    <w:rPr>
      <w:b/>
    </w:rPr>
  </w:style>
  <w:style w:type="paragraph" w:customStyle="1" w:styleId="114">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15">
    <w:name w:val="00"/>
    <w:basedOn w:val="1"/>
    <w:qFormat/>
    <w:uiPriority w:val="0"/>
    <w:pPr>
      <w:autoSpaceDE w:val="0"/>
      <w:autoSpaceDN w:val="0"/>
      <w:adjustRightInd w:val="0"/>
      <w:jc w:val="left"/>
    </w:pPr>
    <w:rPr>
      <w:rFonts w:ascii="黑体" w:eastAsia="黑体"/>
      <w:b/>
      <w:kern w:val="0"/>
      <w:sz w:val="20"/>
    </w:rPr>
  </w:style>
  <w:style w:type="paragraph" w:customStyle="1" w:styleId="116">
    <w:name w:val="1.正文"/>
    <w:basedOn w:val="1"/>
    <w:qFormat/>
    <w:uiPriority w:val="0"/>
    <w:pPr>
      <w:spacing w:line="360" w:lineRule="auto"/>
      <w:ind w:left="540" w:leftChars="225" w:firstLine="540" w:firstLineChars="225"/>
    </w:pPr>
    <w:rPr>
      <w:sz w:val="24"/>
    </w:rPr>
  </w:style>
  <w:style w:type="paragraph" w:customStyle="1" w:styleId="117">
    <w:name w:val="内容标题"/>
    <w:basedOn w:val="17"/>
    <w:qFormat/>
    <w:uiPriority w:val="0"/>
    <w:rPr>
      <w:rFonts w:ascii="Tahoma" w:hAnsi="Tahoma"/>
      <w:sz w:val="24"/>
    </w:rPr>
  </w:style>
  <w:style w:type="paragraph" w:customStyle="1" w:styleId="118">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19">
    <w:name w:val="表头"/>
    <w:basedOn w:val="120"/>
    <w:qFormat/>
    <w:uiPriority w:val="0"/>
    <w:pPr>
      <w:jc w:val="center"/>
    </w:pPr>
    <w:rPr>
      <w:b/>
      <w:bCs/>
    </w:rPr>
  </w:style>
  <w:style w:type="paragraph" w:customStyle="1" w:styleId="120">
    <w:name w:val="表格正文"/>
    <w:basedOn w:val="1"/>
    <w:qFormat/>
    <w:uiPriority w:val="0"/>
    <w:rPr>
      <w:rFonts w:ascii="Calibri" w:hAnsi="Calibri" w:eastAsia="仿宋" w:cs="宋体"/>
      <w:sz w:val="24"/>
    </w:rPr>
  </w:style>
  <w:style w:type="paragraph" w:customStyle="1" w:styleId="121">
    <w:name w:val="正文1"/>
    <w:basedOn w:val="1"/>
    <w:qFormat/>
    <w:uiPriority w:val="0"/>
    <w:pPr>
      <w:spacing w:line="300" w:lineRule="auto"/>
      <w:ind w:firstLine="200" w:firstLineChars="200"/>
    </w:pPr>
    <w:rPr>
      <w:sz w:val="24"/>
    </w:rPr>
  </w:style>
  <w:style w:type="paragraph" w:customStyle="1" w:styleId="122">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23">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24">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2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26">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7">
    <w:name w:val="Title - Date"/>
    <w:basedOn w:val="54"/>
    <w:next w:val="1"/>
    <w:qFormat/>
    <w:uiPriority w:val="0"/>
    <w:pPr>
      <w:spacing w:before="240" w:beforeLines="0" w:beforeAutospacing="0" w:after="720" w:afterLines="0" w:afterAutospacing="0"/>
    </w:pPr>
    <w:rPr>
      <w:sz w:val="28"/>
    </w:rPr>
  </w:style>
  <w:style w:type="paragraph" w:customStyle="1" w:styleId="128">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129">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30">
    <w:name w:val=" Char1 Char Char Char"/>
    <w:basedOn w:val="1"/>
    <w:qFormat/>
    <w:uiPriority w:val="0"/>
    <w:rPr>
      <w:rFonts w:ascii="Tahoma" w:hAnsi="Tahoma"/>
      <w:sz w:val="24"/>
    </w:rPr>
  </w:style>
  <w:style w:type="paragraph" w:customStyle="1" w:styleId="131">
    <w:name w:val=" Char1"/>
    <w:basedOn w:val="1"/>
    <w:qFormat/>
    <w:uiPriority w:val="0"/>
    <w:rPr>
      <w:sz w:val="21"/>
    </w:rPr>
  </w:style>
  <w:style w:type="paragraph" w:customStyle="1" w:styleId="132">
    <w:name w:val="表头样式"/>
    <w:basedOn w:val="1"/>
    <w:qFormat/>
    <w:uiPriority w:val="0"/>
    <w:pPr>
      <w:autoSpaceDE w:val="0"/>
      <w:autoSpaceDN w:val="0"/>
      <w:adjustRightInd w:val="0"/>
      <w:spacing w:line="360" w:lineRule="auto"/>
      <w:jc w:val="left"/>
    </w:pPr>
    <w:rPr>
      <w:b/>
      <w:kern w:val="0"/>
      <w:sz w:val="21"/>
    </w:rPr>
  </w:style>
  <w:style w:type="paragraph" w:customStyle="1" w:styleId="133">
    <w:name w:val="样式 正文缩进正文（首行缩进两字）表正文正文非缩进特点标题4段1 + 首行缩进:  2 字符"/>
    <w:basedOn w:val="15"/>
    <w:qFormat/>
    <w:uiPriority w:val="0"/>
    <w:pPr>
      <w:ind w:firstLine="480" w:firstLineChars="200"/>
    </w:pPr>
  </w:style>
  <w:style w:type="paragraph" w:customStyle="1" w:styleId="134">
    <w:name w:val="样式4"/>
    <w:basedOn w:val="5"/>
    <w:qFormat/>
    <w:uiPriority w:val="0"/>
    <w:pPr>
      <w:adjustRightInd w:val="0"/>
      <w:snapToGrid w:val="0"/>
    </w:pPr>
  </w:style>
  <w:style w:type="paragraph" w:customStyle="1" w:styleId="135">
    <w:name w:val="Body Text Indent 2"/>
    <w:basedOn w:val="1"/>
    <w:qFormat/>
    <w:uiPriority w:val="0"/>
    <w:pPr>
      <w:adjustRightInd w:val="0"/>
      <w:spacing w:before="120" w:beforeLines="0" w:beforeAutospacing="0"/>
      <w:ind w:firstLine="420"/>
      <w:textAlignment w:val="baseline"/>
    </w:pPr>
    <w:rPr>
      <w:sz w:val="24"/>
    </w:rPr>
  </w:style>
  <w:style w:type="paragraph" w:customStyle="1" w:styleId="136">
    <w:name w:val="首行缩进 1"/>
    <w:basedOn w:val="1"/>
    <w:qFormat/>
    <w:uiPriority w:val="0"/>
    <w:pPr>
      <w:spacing w:after="120" w:afterLines="0" w:afterAutospacing="0" w:line="360" w:lineRule="auto"/>
      <w:ind w:firstLine="200" w:firstLineChars="200"/>
    </w:pPr>
    <w:rPr>
      <w:sz w:val="24"/>
    </w:rPr>
  </w:style>
  <w:style w:type="paragraph" w:customStyle="1" w:styleId="137">
    <w:name w:val="样式 首行缩进:  0.74 厘米"/>
    <w:basedOn w:val="1"/>
    <w:qFormat/>
    <w:uiPriority w:val="0"/>
    <w:pPr>
      <w:spacing w:line="360" w:lineRule="auto"/>
      <w:ind w:firstLine="420"/>
    </w:pPr>
    <w:rPr>
      <w:sz w:val="24"/>
    </w:rPr>
  </w:style>
  <w:style w:type="paragraph" w:customStyle="1" w:styleId="13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39">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40">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1">
    <w:name w:val="Title - Revision"/>
    <w:basedOn w:val="54"/>
    <w:qFormat/>
    <w:uiPriority w:val="0"/>
    <w:pPr>
      <w:spacing w:before="720" w:beforeLines="0" w:beforeAutospacing="0"/>
    </w:pPr>
  </w:style>
  <w:style w:type="paragraph" w:customStyle="1" w:styleId="142">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143">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44">
    <w:name w:val="1"/>
    <w:basedOn w:val="1"/>
    <w:next w:val="30"/>
    <w:qFormat/>
    <w:uiPriority w:val="0"/>
    <w:rPr>
      <w:rFonts w:ascii="宋体" w:hAnsi="Courier New"/>
      <w:sz w:val="21"/>
    </w:rPr>
  </w:style>
  <w:style w:type="paragraph" w:customStyle="1" w:styleId="145">
    <w:name w:val="Table Contents"/>
    <w:basedOn w:val="22"/>
    <w:qFormat/>
    <w:uiPriority w:val="0"/>
    <w:pPr>
      <w:suppressAutoHyphens/>
      <w:jc w:val="left"/>
    </w:pPr>
    <w:rPr>
      <w:rFonts w:ascii="Times New Roman" w:eastAsia="Times New Roman"/>
      <w:kern w:val="0"/>
      <w:sz w:val="24"/>
    </w:rPr>
  </w:style>
  <w:style w:type="paragraph" w:customStyle="1" w:styleId="146">
    <w:name w:val="Item Step in Tabl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47">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48">
    <w:name w:val="Char Char Char Char Char Char Char"/>
    <w:basedOn w:val="17"/>
    <w:qFormat/>
    <w:uiPriority w:val="0"/>
    <w:rPr>
      <w:rFonts w:ascii="宋体" w:hAnsi="Tahoma"/>
    </w:rPr>
  </w:style>
  <w:style w:type="paragraph" w:customStyle="1" w:styleId="149">
    <w:name w:val="默认段落字体 Para Char Char Char Char Char Char Char Char Char1 Char Char Char Char"/>
    <w:basedOn w:val="1"/>
    <w:qFormat/>
    <w:uiPriority w:val="0"/>
    <w:rPr>
      <w:rFonts w:ascii="Tahoma" w:hAnsi="Tahoma"/>
      <w:sz w:val="24"/>
    </w:rPr>
  </w:style>
  <w:style w:type="paragraph" w:customStyle="1" w:styleId="150">
    <w:name w:val="标题无"/>
    <w:basedOn w:val="1"/>
    <w:qFormat/>
    <w:uiPriority w:val="0"/>
    <w:pPr>
      <w:spacing w:line="360" w:lineRule="auto"/>
    </w:pPr>
    <w:rPr>
      <w:sz w:val="24"/>
    </w:rPr>
  </w:style>
  <w:style w:type="paragraph" w:customStyle="1" w:styleId="151">
    <w:name w:val="样式1"/>
    <w:basedOn w:val="5"/>
    <w:qFormat/>
    <w:uiPriority w:val="0"/>
    <w:pPr>
      <w:tabs>
        <w:tab w:val="left" w:pos="720"/>
      </w:tabs>
      <w:spacing w:before="500" w:beforeLines="0" w:beforeAutospacing="0" w:after="260" w:afterLines="0" w:afterAutospacing="0" w:line="560" w:lineRule="atLeast"/>
      <w:ind w:left="420" w:hanging="420"/>
    </w:pPr>
  </w:style>
  <w:style w:type="paragraph" w:customStyle="1" w:styleId="152">
    <w:name w:val="二级条标题"/>
    <w:basedOn w:val="153"/>
    <w:next w:val="155"/>
    <w:qFormat/>
    <w:uiPriority w:val="0"/>
    <w:pPr>
      <w:ind w:left="840"/>
      <w:outlineLvl w:val="3"/>
    </w:pPr>
  </w:style>
  <w:style w:type="paragraph" w:customStyle="1" w:styleId="153">
    <w:name w:val="一级条标题"/>
    <w:basedOn w:val="154"/>
    <w:next w:val="155"/>
    <w:qFormat/>
    <w:uiPriority w:val="0"/>
    <w:pPr>
      <w:numPr>
        <w:ilvl w:val="1"/>
        <w:numId w:val="0"/>
      </w:numPr>
      <w:spacing w:before="0" w:beforeLines="0" w:beforeAutospacing="0" w:after="0" w:afterLines="0" w:afterAutospacing="0"/>
      <w:ind w:left="525"/>
      <w:outlineLvl w:val="2"/>
    </w:pPr>
    <w:rPr>
      <w:sz w:val="21"/>
    </w:rPr>
  </w:style>
  <w:style w:type="paragraph" w:customStyle="1" w:styleId="154">
    <w:name w:val="章标题"/>
    <w:next w:val="1"/>
    <w:qFormat/>
    <w:uiPriority w:val="0"/>
    <w:pPr>
      <w:numPr>
        <w:ilvl w:val="1"/>
        <w:numId w:val="5"/>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5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6">
    <w:name w:val="_"/>
    <w:basedOn w:val="1"/>
    <w:qFormat/>
    <w:uiPriority w:val="0"/>
    <w:pPr>
      <w:adjustRightInd w:val="0"/>
      <w:spacing w:line="360" w:lineRule="auto"/>
      <w:ind w:left="480" w:firstLine="200" w:firstLineChars="200"/>
      <w:textAlignment w:val="baseline"/>
    </w:pPr>
    <w:rPr>
      <w:kern w:val="0"/>
      <w:sz w:val="24"/>
    </w:rPr>
  </w:style>
  <w:style w:type="paragraph" w:customStyle="1" w:styleId="157">
    <w:name w:val="关键词"/>
    <w:basedOn w:val="1"/>
    <w:next w:val="1"/>
    <w:qFormat/>
    <w:uiPriority w:val="0"/>
    <w:pPr>
      <w:spacing w:line="360" w:lineRule="auto"/>
    </w:pPr>
    <w:rPr>
      <w:rFonts w:eastAsia="黑体"/>
      <w:sz w:val="20"/>
    </w:rPr>
  </w:style>
  <w:style w:type="paragraph" w:customStyle="1" w:styleId="158">
    <w:name w:val="样式2"/>
    <w:basedOn w:val="5"/>
    <w:qFormat/>
    <w:uiPriority w:val="0"/>
    <w:pPr>
      <w:numPr>
        <w:ilvl w:val="0"/>
        <w:numId w:val="6"/>
      </w:numPr>
      <w:spacing w:before="560" w:beforeLines="0" w:line="400" w:lineRule="exact"/>
      <w:jc w:val="center"/>
      <w:outlineLvl w:val="0"/>
    </w:pPr>
    <w:rPr>
      <w:b w:val="0"/>
      <w:sz w:val="44"/>
    </w:rPr>
  </w:style>
  <w:style w:type="paragraph" w:customStyle="1" w:styleId="159">
    <w:name w:val="表头文本"/>
    <w:qFormat/>
    <w:uiPriority w:val="0"/>
    <w:pPr>
      <w:jc w:val="center"/>
    </w:pPr>
    <w:rPr>
      <w:rFonts w:ascii="Arial" w:hAnsi="Arial" w:eastAsia="宋体" w:cs="Times New Roman"/>
      <w:b/>
      <w:sz w:val="21"/>
      <w:lang w:val="en-US" w:eastAsia="zh-CN" w:bidi="ar-SA"/>
    </w:rPr>
  </w:style>
  <w:style w:type="paragraph" w:customStyle="1" w:styleId="160">
    <w:name w:val="_Style 159"/>
    <w:qFormat/>
    <w:uiPriority w:val="0"/>
    <w:rPr>
      <w:rFonts w:ascii="Times New Roman" w:hAnsi="Times New Roman" w:eastAsia="宋体" w:cs="Times New Roman"/>
      <w:kern w:val="2"/>
      <w:sz w:val="21"/>
      <w:lang w:val="en-US" w:eastAsia="zh-CN" w:bidi="ar-SA"/>
    </w:rPr>
  </w:style>
  <w:style w:type="paragraph" w:customStyle="1" w:styleId="161">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62">
    <w:name w:val="样式 标题 1 + 居中 段前: 6 磅 段后: 6 磅 行距: 1.5 倍行距"/>
    <w:basedOn w:val="2"/>
    <w:qFormat/>
    <w:uiPriority w:val="0"/>
    <w:pPr>
      <w:keepLines/>
      <w:adjustRightInd w:val="0"/>
      <w:spacing w:before="120" w:beforeLines="0" w:beforeAutospacing="0" w:after="120" w:afterLines="0" w:afterAutospacing="0" w:line="360" w:lineRule="auto"/>
      <w:jc w:val="center"/>
    </w:pPr>
    <w:rPr>
      <w:rFonts w:ascii="Times New Roman"/>
      <w:b/>
      <w:kern w:val="44"/>
      <w:sz w:val="32"/>
    </w:rPr>
  </w:style>
  <w:style w:type="paragraph" w:customStyle="1" w:styleId="163">
    <w:name w:val="附录4"/>
    <w:basedOn w:val="1"/>
    <w:next w:val="1"/>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16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6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66">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7">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6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69">
    <w:name w:val="样式1xz"/>
    <w:basedOn w:val="1"/>
    <w:qFormat/>
    <w:uiPriority w:val="0"/>
    <w:pPr>
      <w:tabs>
        <w:tab w:val="left" w:pos="1050"/>
        <w:tab w:val="right" w:leader="dot" w:pos="8296"/>
      </w:tabs>
    </w:pPr>
    <w:rPr>
      <w:caps/>
      <w:spacing w:val="20"/>
      <w:sz w:val="24"/>
    </w:rPr>
  </w:style>
  <w:style w:type="paragraph" w:customStyle="1" w:styleId="170">
    <w:name w:val="样式 宋体 五号 行距: 单倍行距"/>
    <w:basedOn w:val="1"/>
    <w:qFormat/>
    <w:uiPriority w:val="0"/>
    <w:pPr>
      <w:adjustRightInd w:val="0"/>
      <w:jc w:val="left"/>
    </w:pPr>
    <w:rPr>
      <w:rFonts w:ascii="宋体" w:hAnsi="宋体"/>
      <w:kern w:val="0"/>
      <w:sz w:val="21"/>
    </w:rPr>
  </w:style>
  <w:style w:type="paragraph" w:customStyle="1" w:styleId="171">
    <w:name w:val="图片文字"/>
    <w:basedOn w:val="1"/>
    <w:qFormat/>
    <w:uiPriority w:val="0"/>
    <w:pPr>
      <w:spacing w:line="240" w:lineRule="atLeast"/>
      <w:jc w:val="center"/>
    </w:pPr>
    <w:rPr>
      <w:sz w:val="21"/>
    </w:rPr>
  </w:style>
  <w:style w:type="paragraph" w:customStyle="1" w:styleId="172">
    <w:name w:val="Char"/>
    <w:basedOn w:val="1"/>
    <w:qFormat/>
    <w:uiPriority w:val="0"/>
    <w:pPr>
      <w:spacing w:line="240" w:lineRule="atLeast"/>
      <w:ind w:left="420" w:firstLine="420"/>
    </w:pPr>
    <w:rPr>
      <w:kern w:val="0"/>
      <w:sz w:val="21"/>
    </w:rPr>
  </w:style>
  <w:style w:type="paragraph" w:customStyle="1" w:styleId="173">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74">
    <w:name w:val="Note"/>
    <w:basedOn w:val="1"/>
    <w:qFormat/>
    <w:uiPriority w:val="0"/>
    <w:pPr>
      <w:pBdr>
        <w:top w:val="single" w:color="auto" w:sz="12" w:space="3"/>
        <w:bottom w:val="single" w:color="auto" w:sz="12" w:space="3"/>
      </w:pBdr>
      <w:spacing w:line="360" w:lineRule="auto"/>
    </w:pPr>
    <w:rPr>
      <w:sz w:val="24"/>
    </w:rPr>
  </w:style>
  <w:style w:type="paragraph" w:customStyle="1" w:styleId="175">
    <w:name w:val=" Char"/>
    <w:basedOn w:val="1"/>
    <w:qFormat/>
    <w:uiPriority w:val="0"/>
    <w:pPr>
      <w:spacing w:line="240" w:lineRule="atLeast"/>
      <w:ind w:left="420" w:firstLine="420"/>
    </w:pPr>
    <w:rPr>
      <w:kern w:val="0"/>
      <w:sz w:val="21"/>
    </w:rPr>
  </w:style>
  <w:style w:type="paragraph" w:customStyle="1" w:styleId="176">
    <w:name w:val=" Char Char Char"/>
    <w:basedOn w:val="1"/>
    <w:qFormat/>
    <w:uiPriority w:val="0"/>
    <w:rPr>
      <w:rFonts w:ascii="Tahoma" w:hAnsi="Tahoma"/>
      <w:sz w:val="24"/>
    </w:rPr>
  </w:style>
  <w:style w:type="paragraph" w:customStyle="1" w:styleId="177">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78">
    <w:name w:val="标书正文:  0.74 厘米"/>
    <w:basedOn w:val="1"/>
    <w:qFormat/>
    <w:uiPriority w:val="0"/>
    <w:pPr>
      <w:snapToGrid w:val="0"/>
      <w:spacing w:line="360" w:lineRule="auto"/>
      <w:ind w:firstLine="420"/>
    </w:pPr>
    <w:rPr>
      <w:sz w:val="24"/>
    </w:rPr>
  </w:style>
  <w:style w:type="paragraph" w:customStyle="1" w:styleId="179">
    <w:name w:val=" Char Char 字元 字元 字元 Char Char Char Char"/>
    <w:basedOn w:val="1"/>
    <w:qFormat/>
    <w:uiPriority w:val="0"/>
    <w:pPr>
      <w:adjustRightInd w:val="0"/>
      <w:spacing w:line="360" w:lineRule="auto"/>
    </w:pPr>
    <w:rPr>
      <w:kern w:val="0"/>
      <w:sz w:val="24"/>
    </w:rPr>
  </w:style>
  <w:style w:type="paragraph" w:customStyle="1" w:styleId="180">
    <w:name w:val="样式 标题 6第五层条 + 三号 段前: 0.5 行"/>
    <w:basedOn w:val="7"/>
    <w:qFormat/>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181">
    <w:name w:val="列表项目"/>
    <w:basedOn w:val="1"/>
    <w:qFormat/>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82">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83">
    <w:name w:val=" Char Char14 Char Char"/>
    <w:basedOn w:val="1"/>
    <w:qFormat/>
    <w:uiPriority w:val="0"/>
    <w:rPr>
      <w:sz w:val="21"/>
      <w:szCs w:val="24"/>
    </w:rPr>
  </w:style>
  <w:style w:type="paragraph" w:customStyle="1" w:styleId="184">
    <w:name w:val="表号"/>
    <w:basedOn w:val="1"/>
    <w:qFormat/>
    <w:uiPriority w:val="0"/>
    <w:pPr>
      <w:numPr>
        <w:ilvl w:val="0"/>
        <w:numId w:val="7"/>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85">
    <w:name w:val="可研正文"/>
    <w:basedOn w:val="22"/>
    <w:qFormat/>
    <w:uiPriority w:val="0"/>
    <w:pPr>
      <w:adjustRightInd w:val="0"/>
      <w:snapToGrid w:val="0"/>
      <w:spacing w:line="440" w:lineRule="exact"/>
      <w:ind w:firstLine="567"/>
    </w:pPr>
    <w:rPr>
      <w:sz w:val="28"/>
    </w:rPr>
  </w:style>
  <w:style w:type="paragraph" w:customStyle="1" w:styleId="186">
    <w:name w:val="标题2"/>
    <w:basedOn w:val="3"/>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187">
    <w:name w:val="首行缩进"/>
    <w:basedOn w:val="1"/>
    <w:qFormat/>
    <w:uiPriority w:val="0"/>
    <w:pPr>
      <w:numPr>
        <w:ilvl w:val="0"/>
        <w:numId w:val="8"/>
      </w:numPr>
      <w:spacing w:line="360" w:lineRule="auto"/>
    </w:pPr>
    <w:rPr>
      <w:rFonts w:eastAsia="仿宋_GB2312"/>
    </w:rPr>
  </w:style>
  <w:style w:type="paragraph" w:customStyle="1" w:styleId="188">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89">
    <w:name w:val="正文 + 三号"/>
    <w:basedOn w:val="1"/>
    <w:qFormat/>
    <w:uiPriority w:val="0"/>
    <w:rPr>
      <w:sz w:val="21"/>
    </w:rPr>
  </w:style>
  <w:style w:type="paragraph" w:customStyle="1" w:styleId="190">
    <w:name w:val=" Char Char1 Char"/>
    <w:basedOn w:val="1"/>
    <w:qFormat/>
    <w:uiPriority w:val="0"/>
    <w:rPr>
      <w:rFonts w:ascii="Tahoma" w:hAnsi="Tahoma"/>
      <w:sz w:val="24"/>
      <w:szCs w:val="24"/>
    </w:rPr>
  </w:style>
  <w:style w:type="paragraph" w:customStyle="1" w:styleId="19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92">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93">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94">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95">
    <w:name w:val="样式 正文首行缩进 2 + 首行缩进:  2 字符"/>
    <w:basedOn w:val="1"/>
    <w:qFormat/>
    <w:uiPriority w:val="0"/>
    <w:pPr>
      <w:numPr>
        <w:ilvl w:val="0"/>
        <w:numId w:val="9"/>
      </w:numPr>
      <w:adjustRightInd w:val="0"/>
      <w:snapToGrid w:val="0"/>
      <w:spacing w:line="360" w:lineRule="auto"/>
    </w:pPr>
    <w:rPr>
      <w:rFonts w:ascii="Arial" w:hAnsi="Arial"/>
      <w:b/>
      <w:sz w:val="24"/>
    </w:rPr>
  </w:style>
  <w:style w:type="paragraph" w:customStyle="1" w:styleId="19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97">
    <w:name w:val="摘要"/>
    <w:basedOn w:val="1"/>
    <w:next w:val="3"/>
    <w:qFormat/>
    <w:uiPriority w:val="0"/>
    <w:pPr>
      <w:spacing w:line="360" w:lineRule="auto"/>
    </w:pPr>
    <w:rPr>
      <w:rFonts w:eastAsia="黑体"/>
      <w:sz w:val="20"/>
    </w:rPr>
  </w:style>
  <w:style w:type="paragraph" w:customStyle="1" w:styleId="198">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99">
    <w:name w:val="正文（首行不缩进）"/>
    <w:basedOn w:val="1"/>
    <w:qFormat/>
    <w:uiPriority w:val="0"/>
    <w:pPr>
      <w:autoSpaceDE w:val="0"/>
      <w:autoSpaceDN w:val="0"/>
      <w:adjustRightInd w:val="0"/>
      <w:spacing w:line="360" w:lineRule="auto"/>
      <w:jc w:val="left"/>
    </w:pPr>
    <w:rPr>
      <w:kern w:val="0"/>
      <w:sz w:val="21"/>
    </w:rPr>
  </w:style>
  <w:style w:type="paragraph" w:customStyle="1" w:styleId="200">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操作步骤"/>
    <w:basedOn w:val="1"/>
    <w:qFormat/>
    <w:uiPriority w:val="0"/>
    <w:pPr>
      <w:numPr>
        <w:ilvl w:val="0"/>
        <w:numId w:val="10"/>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04">
    <w:name w:val=" Char2 Char Char Char Char Char Char"/>
    <w:basedOn w:val="1"/>
    <w:qFormat/>
    <w:uiPriority w:val="0"/>
    <w:rPr>
      <w:rFonts w:ascii="仿宋_GB2312"/>
      <w:b/>
      <w:sz w:val="30"/>
    </w:rPr>
  </w:style>
  <w:style w:type="paragraph" w:customStyle="1" w:styleId="205">
    <w:name w:val="简单回函地址"/>
    <w:basedOn w:val="1"/>
    <w:qFormat/>
    <w:uiPriority w:val="0"/>
    <w:pPr>
      <w:adjustRightInd w:val="0"/>
      <w:snapToGrid w:val="0"/>
      <w:spacing w:line="360" w:lineRule="auto"/>
    </w:pPr>
    <w:rPr>
      <w:sz w:val="24"/>
    </w:rPr>
  </w:style>
  <w:style w:type="paragraph" w:customStyle="1" w:styleId="206">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207">
    <w:name w:val="样式 标题 1章标题Heading 0Section HeadPIM 1H1h11st levell11H1..."/>
    <w:basedOn w:val="2"/>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kern w:val="44"/>
      <w:sz w:val="36"/>
    </w:rPr>
  </w:style>
  <w:style w:type="paragraph" w:customStyle="1" w:styleId="208">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209">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0">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211">
    <w:name w:val="Style Heading 3h3Heading 3 - oldLevel 3 HeadH3level_3PIM 3se..."/>
    <w:basedOn w:val="4"/>
    <w:qFormat/>
    <w:uiPriority w:val="0"/>
    <w:pPr>
      <w:numPr>
        <w:ilvl w:val="2"/>
        <w:numId w:val="2"/>
      </w:numPr>
      <w:tabs>
        <w:tab w:val="left" w:pos="709"/>
        <w:tab w:val="left" w:pos="1620"/>
      </w:tabs>
      <w:spacing w:line="413" w:lineRule="auto"/>
    </w:pPr>
  </w:style>
  <w:style w:type="paragraph" w:customStyle="1" w:styleId="212">
    <w:name w:val="文本1"/>
    <w:basedOn w:val="1"/>
    <w:qFormat/>
    <w:uiPriority w:val="0"/>
    <w:pPr>
      <w:adjustRightInd w:val="0"/>
      <w:spacing w:line="312" w:lineRule="atLeast"/>
      <w:jc w:val="center"/>
      <w:textAlignment w:val="baseline"/>
    </w:pPr>
    <w:rPr>
      <w:kern w:val="0"/>
      <w:sz w:val="18"/>
    </w:rPr>
  </w:style>
  <w:style w:type="paragraph" w:customStyle="1" w:styleId="213">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214">
    <w:name w:val="样式3"/>
    <w:basedOn w:val="2"/>
    <w:next w:val="2"/>
    <w:qFormat/>
    <w:uiPriority w:val="0"/>
    <w:pPr>
      <w:keepLines/>
      <w:adjustRightInd w:val="0"/>
      <w:spacing w:before="340" w:beforeLines="0" w:beforeAutospacing="0" w:after="330" w:afterLines="0" w:afterAutospacing="0" w:line="576" w:lineRule="auto"/>
    </w:pPr>
    <w:rPr>
      <w:rFonts w:ascii="Times New Roman" w:eastAsia="黑体"/>
      <w:b/>
      <w:kern w:val="44"/>
      <w:sz w:val="44"/>
    </w:rPr>
  </w:style>
  <w:style w:type="paragraph" w:customStyle="1" w:styleId="215">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6">
    <w:name w:val="标题3——2"/>
    <w:basedOn w:val="4"/>
    <w:next w:val="56"/>
    <w:qFormat/>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217">
    <w:name w:val="正文格式"/>
    <w:basedOn w:val="1"/>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218">
    <w:name w:val="附录3"/>
    <w:basedOn w:val="1"/>
    <w:next w:val="1"/>
    <w:qFormat/>
    <w:uiPriority w:val="0"/>
    <w:pPr>
      <w:numPr>
        <w:ilvl w:val="0"/>
        <w:numId w:val="0"/>
      </w:numPr>
      <w:tabs>
        <w:tab w:val="left" w:pos="851"/>
      </w:tabs>
      <w:ind w:left="425" w:hanging="425"/>
      <w:outlineLvl w:val="2"/>
    </w:pPr>
    <w:rPr>
      <w:rFonts w:eastAsia="黑体"/>
      <w:b/>
      <w:sz w:val="32"/>
    </w:rPr>
  </w:style>
  <w:style w:type="paragraph" w:customStyle="1" w:styleId="219">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2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21">
    <w:name w:val=" Char Char Char1 Char Char Char Char Char Char Char Char Char Char Char Char Char"/>
    <w:basedOn w:val="1"/>
    <w:qFormat/>
    <w:uiPriority w:val="0"/>
    <w:pPr>
      <w:widowControl/>
      <w:spacing w:after="160" w:afterLines="0" w:line="240" w:lineRule="exact"/>
      <w:jc w:val="left"/>
    </w:pPr>
    <w:rPr>
      <w:rFonts w:ascii="Verdana" w:hAnsi="Verdana"/>
      <w:kern w:val="0"/>
      <w:sz w:val="18"/>
      <w:lang w:eastAsia="en-US"/>
    </w:rPr>
  </w:style>
  <w:style w:type="paragraph" w:customStyle="1" w:styleId="222">
    <w:name w:val="af"/>
    <w:basedOn w:val="1"/>
    <w:qFormat/>
    <w:uiPriority w:val="0"/>
    <w:pPr>
      <w:widowControl/>
      <w:spacing w:line="300" w:lineRule="atLeast"/>
      <w:jc w:val="left"/>
    </w:pPr>
    <w:rPr>
      <w:rFonts w:ascii="宋体" w:hAnsi="宋体"/>
      <w:kern w:val="0"/>
      <w:sz w:val="18"/>
    </w:rPr>
  </w:style>
  <w:style w:type="paragraph" w:customStyle="1" w:styleId="223">
    <w:name w:val="文章正文"/>
    <w:basedOn w:val="1"/>
    <w:qFormat/>
    <w:uiPriority w:val="0"/>
    <w:pPr>
      <w:ind w:firstLine="560" w:firstLineChars="200"/>
    </w:pPr>
    <w:rPr>
      <w:rFonts w:ascii="仿宋_GB2312" w:hAnsi="宋体" w:eastAsia="仿宋_GB2312"/>
      <w:color w:val="000000"/>
    </w:rPr>
  </w:style>
  <w:style w:type="paragraph" w:customStyle="1" w:styleId="224">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2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26">
    <w:name w:val=" Char Char Char Char Char"/>
    <w:basedOn w:val="1"/>
    <w:qFormat/>
    <w:uiPriority w:val="0"/>
    <w:pPr>
      <w:numPr>
        <w:ilvl w:val="0"/>
        <w:numId w:val="2"/>
      </w:numPr>
      <w:tabs>
        <w:tab w:val="left" w:pos="425"/>
        <w:tab w:val="clear" w:pos="1620"/>
      </w:tabs>
    </w:pPr>
    <w:rPr>
      <w:rFonts w:ascii="Tahoma" w:hAnsi="Tahoma"/>
      <w:sz w:val="24"/>
    </w:rPr>
  </w:style>
  <w:style w:type="paragraph" w:customStyle="1" w:styleId="227">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22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29">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230">
    <w:name w:val="默认段落字体 Para Char Char Char Char Char Char Char"/>
    <w:basedOn w:val="1"/>
    <w:qFormat/>
    <w:uiPriority w:val="0"/>
    <w:rPr>
      <w:rFonts w:ascii="Tahoma" w:hAnsi="Tahoma"/>
      <w:sz w:val="24"/>
    </w:rPr>
  </w:style>
  <w:style w:type="paragraph" w:customStyle="1" w:styleId="231">
    <w:name w:val="编号正文"/>
    <w:basedOn w:val="200"/>
    <w:qFormat/>
    <w:uiPriority w:val="0"/>
    <w:pPr>
      <w:snapToGrid/>
      <w:spacing w:line="360" w:lineRule="auto"/>
      <w:ind w:left="1407" w:hanging="1047"/>
      <w:jc w:val="left"/>
    </w:pPr>
    <w:rPr>
      <w:rFonts w:eastAsia="仿宋_GB2312"/>
    </w:rPr>
  </w:style>
  <w:style w:type="paragraph" w:customStyle="1" w:styleId="232">
    <w:name w:val="表格内文字"/>
    <w:basedOn w:val="30"/>
    <w:qFormat/>
    <w:uiPriority w:val="0"/>
    <w:pPr>
      <w:adjustRightInd w:val="0"/>
    </w:pPr>
    <w:rPr>
      <w:color w:val="000000"/>
      <w:lang w:val="en-GB"/>
    </w:rPr>
  </w:style>
  <w:style w:type="paragraph" w:customStyle="1" w:styleId="233">
    <w:name w:val="样式 行距: 1.5 倍行距1"/>
    <w:basedOn w:val="1"/>
    <w:qFormat/>
    <w:uiPriority w:val="0"/>
    <w:pPr>
      <w:snapToGrid w:val="0"/>
    </w:pPr>
    <w:rPr>
      <w:sz w:val="21"/>
    </w:rPr>
  </w:style>
  <w:style w:type="paragraph" w:customStyle="1" w:styleId="234">
    <w:name w:val=" Char Char Char Char Char Char Char"/>
    <w:basedOn w:val="1"/>
    <w:qFormat/>
    <w:uiPriority w:val="0"/>
    <w:rPr>
      <w:rFonts w:ascii="Tahoma" w:hAnsi="Tahoma"/>
      <w:sz w:val="24"/>
    </w:rPr>
  </w:style>
  <w:style w:type="paragraph" w:customStyle="1" w:styleId="235">
    <w:name w:val="表格文本"/>
    <w:qFormat/>
    <w:uiPriority w:val="0"/>
    <w:pPr>
      <w:tabs>
        <w:tab w:val="decimal" w:pos="0"/>
      </w:tabs>
    </w:pPr>
    <w:rPr>
      <w:rFonts w:ascii="Arial" w:hAnsi="Arial" w:eastAsia="宋体" w:cs="Times New Roman"/>
      <w:sz w:val="21"/>
      <w:lang w:val="en-US" w:eastAsia="zh-CN" w:bidi="ar-SA"/>
    </w:rPr>
  </w:style>
  <w:style w:type="paragraph" w:customStyle="1" w:styleId="236">
    <w:name w:val="正文表格"/>
    <w:basedOn w:val="1"/>
    <w:qFormat/>
    <w:uiPriority w:val="0"/>
    <w:pPr>
      <w:adjustRightInd w:val="0"/>
      <w:spacing w:before="40" w:beforeLines="0" w:beforeAutospacing="0" w:after="40" w:afterLines="0" w:afterAutospacing="0"/>
    </w:pPr>
    <w:rPr>
      <w:sz w:val="24"/>
    </w:rPr>
  </w:style>
  <w:style w:type="paragraph" w:customStyle="1" w:styleId="23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38">
    <w:name w:val=" Char Char Char Char Char Char Char Char Char Char Char Char Char Char Char Char"/>
    <w:basedOn w:val="1"/>
    <w:qFormat/>
    <w:uiPriority w:val="0"/>
    <w:pPr>
      <w:tabs>
        <w:tab w:val="left" w:pos="360"/>
      </w:tabs>
    </w:pPr>
    <w:rPr>
      <w:sz w:val="24"/>
    </w:rPr>
  </w:style>
  <w:style w:type="paragraph" w:customStyle="1" w:styleId="239">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40">
    <w:name w:val="标准正文"/>
    <w:basedOn w:val="23"/>
    <w:qFormat/>
    <w:uiPriority w:val="0"/>
    <w:pPr>
      <w:spacing w:before="60" w:beforeLines="0" w:after="60" w:afterLines="0" w:line="360" w:lineRule="auto"/>
      <w:ind w:left="0" w:firstLine="482"/>
    </w:pPr>
    <w:rPr>
      <w:rFonts w:ascii="Arial" w:hAnsi="Arial"/>
      <w:sz w:val="24"/>
    </w:rPr>
  </w:style>
  <w:style w:type="paragraph" w:customStyle="1" w:styleId="241">
    <w:name w:val="标题 31"/>
    <w:basedOn w:val="1"/>
    <w:qFormat/>
    <w:uiPriority w:val="0"/>
    <w:pPr>
      <w:keepNext/>
      <w:keepLines/>
      <w:spacing w:before="260" w:after="260" w:line="412" w:lineRule="auto"/>
      <w:outlineLvl w:val="2"/>
    </w:pPr>
    <w:rPr>
      <w:b/>
      <w:sz w:val="32"/>
    </w:rPr>
  </w:style>
  <w:style w:type="paragraph" w:customStyle="1" w:styleId="242">
    <w:name w:val="表格文字"/>
    <w:qFormat/>
    <w:uiPriority w:val="99"/>
    <w:pPr>
      <w:widowControl w:val="0"/>
      <w:spacing w:before="25" w:after="25"/>
    </w:pPr>
    <w:rPr>
      <w:rFonts w:ascii="Times New Roman" w:hAnsi="Times New Roman" w:eastAsia="Times New Roman" w:cs="宋体"/>
      <w:bCs/>
      <w:spacing w:val="10"/>
      <w:sz w:val="24"/>
      <w:lang w:val="en-US" w:eastAsia="en-US" w:bidi="ar-SA"/>
    </w:rPr>
  </w:style>
  <w:style w:type="paragraph" w:customStyle="1" w:styleId="243">
    <w:name w:val="_Style 3"/>
    <w:next w:val="1"/>
    <w:qFormat/>
    <w:uiPriority w:val="1"/>
    <w:rPr>
      <w:rFonts w:ascii="Calibri" w:hAnsi="Calibri" w:eastAsia="宋体" w:cs="Times New Roman"/>
      <w:sz w:val="22"/>
      <w:szCs w:val="22"/>
      <w:lang w:val="en-US" w:eastAsia="zh-CN" w:bidi="ar-SA"/>
    </w:rPr>
  </w:style>
  <w:style w:type="paragraph" w:styleId="244">
    <w:name w:val="List Paragraph"/>
    <w:basedOn w:val="1"/>
    <w:qFormat/>
    <w:uiPriority w:val="34"/>
    <w:pPr>
      <w:ind w:firstLine="420" w:firstLineChars="200"/>
    </w:pPr>
    <w:rPr>
      <w:rFonts w:ascii="Calibri" w:hAnsi="Calibri"/>
      <w:sz w:val="21"/>
      <w:szCs w:val="22"/>
    </w:rPr>
  </w:style>
  <w:style w:type="paragraph" w:customStyle="1" w:styleId="245">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fee66047-5bba-467f-ae6e-aafcb038da71</errorID>
      <errorWord>相同的</errorWord>
      <group>L1_Word</group>
      <groupName>字词问题</groupName>
      <ability>L2_Typo</ability>
      <abilityName>字词错误</abilityName>
      <candidateList>
        <item>相同</item>
      </candidateList>
      <explain/>
      <paraID>4C79B118</paraID>
      <start>120</start>
      <end>122</end>
      <status>modified</status>
      <modifiedWord>相同</modifiedWord>
      <trackRevisions>false</trackRevisions>
    </reviewItem>
    <reviewItem>
      <errorID>00d6a050-ce44-4d4e-bdcc-ced09798b652</errorID>
      <errorWord>。</errorWord>
      <group>L1_Punc</group>
      <groupName>标点问题</groupName>
      <ability>L2_Punc_CN</ability>
      <abilityName>标点符号问题</abilityName>
      <candidateList>
        <item>；</item>
      </candidateList>
      <explain/>
      <paraID>4C79B118</paraID>
      <start>140</start>
      <end>141</end>
      <status>modified</status>
      <modifiedWord>；</modifiedWord>
      <trackRevisions>false</trackRevisions>
    </reviewItem>
    <reviewItem>
      <errorID>63fac115-4914-448c-8cf2-b6feaa59b821</errorID>
      <errorWord>。</errorWord>
      <group>L1_Punc</group>
      <groupName>标点问题</groupName>
      <ability>L2_Punc_CN</ability>
      <abilityName>标点符号问题</abilityName>
      <candidateList>
        <item>；</item>
      </candidateList>
      <explain/>
      <paraID>4C79B118</paraID>
      <start>168</start>
      <end>169</end>
      <status>modified</status>
      <modifiedWord>；</modifiedWord>
      <trackRevisions>false</trackRevisions>
    </reviewItem>
    <reviewItem>
      <errorID>3b280d52-edbd-4eaa-8e46-26d597336593</errorID>
      <errorWord>以下条款</errorWord>
      <group>L1_Grammar</group>
      <groupName>语法问题</groupName>
      <ability>L2_Grammar</ability>
      <abilityName>语法错误</abilityName>
      <candidateList>
        <item>以下</item>
      </candidateList>
      <explain/>
      <paraID>20718DBF</paraID>
      <start>5</start>
      <end>7</end>
      <status>modified</status>
      <modifiedWord>以下</modifiedWord>
      <trackRevisions>false</trackRevisions>
    </reviewItem>
    <reviewItem>
      <errorID>aa30f8d0-055c-4273-816e-11cdd9398e48</errorID>
      <errorWord>家的</errorWord>
      <group>L1_Word</group>
      <groupName>字词问题</groupName>
      <ability>L2_Typo</ability>
      <abilityName>字词错误</abilityName>
      <candidateList>
        <item>家</item>
      </candidateList>
      <explain/>
      <paraID>4ACC4A0F</paraID>
      <start>36</start>
      <end>37</end>
      <status>modified</status>
      <modifiedWord>家</modifiedWord>
      <trackRevisions>false</trackRevisions>
    </reviewItem>
    <reviewItem>
      <errorID>65d23439-a741-4a0c-8b09-54a150fe1bb7</errorID>
      <errorWord>，</errorWord>
      <group>L1_Punc</group>
      <groupName>标点问题</groupName>
      <ability>L2_Punc_CN</ability>
      <abilityName>标点符号问题</abilityName>
      <candidateList>
        <item>。</item>
      </candidateList>
      <explain/>
      <paraID>66641B88</paraID>
      <start>48</start>
      <end>49</end>
      <status>modified</status>
      <modifiedWord>。</modifiedWord>
      <trackRevisions>false</trackRevisions>
    </reviewItem>
    <reviewItem>
      <errorID>15d78286-3c31-41de-9f8c-9de5978394ec</errorID>
      <errorWord>资质等级</errorWord>
      <group>L1_Grammar</group>
      <groupName>语法问题</groupName>
      <ability>L2_Grammar</ability>
      <abilityName>语法错误</abilityName>
      <candidateList>
        <item>联合体的资质等级</item>
      </candidateList>
      <explain/>
      <paraID>2350AF15</paraID>
      <start>84</start>
      <end>92</end>
      <status>modified</status>
      <modifiedWord>联合体的资质等级</modifiedWord>
      <trackRevisions>false</trackRevisions>
    </reviewItem>
    <reviewItem>
      <errorID>756e7417-344b-4598-a680-8ec8a6f28226</errorID>
      <errorWord>所有联合体</errorWord>
      <group>L1_Word</group>
      <groupName>字词问题</groupName>
      <ability>L2_Typo</ability>
      <abilityName>字词错误</abilityName>
      <candidateList>
        <item>联合体所有</item>
      </candidateList>
      <explain/>
      <paraID>653DB6DF</paraID>
      <start>46</start>
      <end>51</end>
      <status>modified</status>
      <modifiedWord>联合体所有</modifiedWord>
      <trackRevisions>false</trackRevisions>
    </reviewItem>
    <reviewItem>
      <errorID>93702141-e918-4410-989e-b79a10c7ca8e</errorID>
      <errorWord>有效期为</errorWord>
      <group>L1_Word</group>
      <groupName>字词问题</groupName>
      <ability>L2_Typo</ability>
      <abilityName>字词错误</abilityName>
      <candidateList>
        <item>有效期</item>
      </candidateList>
      <explain/>
      <paraID>36C86680</paraID>
      <start>21</start>
      <end>24</end>
      <status>modified</status>
      <modifiedWord>有效期</modifiedWord>
      <trackRevisions>false</trackRevisions>
    </reviewItem>
    <reviewItem>
      <errorID>67e90890-756c-4e6a-9f2d-937855f1d787</errorID>
      <errorWord>约束作用</errorWord>
      <group>L1_Word</group>
      <groupName>字词问题</groupName>
      <ability>L2_Typo</ability>
      <abilityName>字词错误</abilityName>
      <candidateList>
        <item>约束力</item>
      </candidateList>
      <explain/>
      <paraID>49968691</paraID>
      <start>53</start>
      <end>56</end>
      <status>modified</status>
      <modifiedWord>约束力</modifiedWord>
      <trackRevisions>false</trackRevisions>
    </reviewItem>
    <reviewItem>
      <errorID>16eae051-9c36-47b1-adbc-037ba729d979</errorID>
      <errorWord>超</errorWord>
      <group>L1_Word</group>
      <groupName>字词问题</groupName>
      <ability>L2_Typo</ability>
      <abilityName>字词错误</abilityName>
      <candidateList>
        <item>超出</item>
      </candidateList>
      <explain/>
      <paraID>51AF9E84</paraID>
      <start>101</start>
      <end>103</end>
      <status>modified</status>
      <modifiedWord>超出</modifiedWord>
      <trackRevisions>false</trackRevisions>
    </reviewItem>
    <reviewItem>
      <errorID>1d9e838e-b9ef-4afd-a33f-4f29699608d8</errorID>
      <errorWord>的损害</errorWord>
      <group>L1_Word</group>
      <groupName>字词问题</groupName>
      <ability>L2_Typo</ability>
      <abilityName>字词错误</abilityName>
      <candidateList>
        <item>损害的</item>
      </candidateList>
      <explain/>
      <paraID>41CE5293</paraID>
      <start>126</start>
      <end>129</end>
      <status>modified</status>
      <modifiedWord>损害的</modifiedWord>
      <trackRevisions>false</trackRevisions>
    </reviewItem>
    <reviewItem>
      <errorID>8cdcc4af-ee67-4fdf-bd4c-f4b7995fa5bb</errorID>
      <errorWord>，</errorWord>
      <group>L1_Punc</group>
      <groupName>标点问题</groupName>
      <ability>L2_Punc_CN</ability>
      <abilityName>标点符号问题</abilityName>
      <candidateList>
        <item>。</item>
      </candidateList>
      <explain/>
      <paraID>1619D5BE</paraID>
      <start>72</start>
      <end>73</end>
      <status>modified</status>
      <modifiedWord>。</modifiedWord>
      <trackRevisions>false</trackRevisions>
    </reviewItem>
    <reviewItem>
      <errorID>00b6ab14-d1b0-4a2e-8633-3604da0ede34</errorID>
      <errorWord>，</errorWord>
      <group>L1_Punc</group>
      <groupName>标点问题</groupName>
      <ability>L2_Punc_CN</ability>
      <abilityName>标点符号问题</abilityName>
      <candidateList>
        <item>、</item>
      </candidateList>
      <explain/>
      <paraID>21CA67FA</paraID>
      <start>122</start>
      <end>123</end>
      <status>modified</status>
      <modifiedWord>、</modifiedWord>
      <trackRevisions>false</trackRevisions>
    </reviewItem>
    <reviewItem>
      <errorID>71cf37d4-89ad-4ee9-a9b2-8294c726a916</errorID>
      <errorWord>情形的</errorWord>
      <group>L1_Word</group>
      <groupName>字词问题</groupName>
      <ability>L2_Typo</ability>
      <abilityName>字词错误</abilityName>
      <candidateList>
        <item>情形</item>
      </candidateList>
      <explain/>
      <paraID>3E3DFB70</paraID>
      <start>98</start>
      <end>100</end>
      <status>modified</status>
      <modifiedWord>情形</modifiedWord>
      <trackRevisions>false</trackRevisions>
    </reviewItem>
    <reviewItem>
      <errorID>536b4612-5111-45ac-a0d3-7467045acfa4</errorID>
      <errorWord> </errorWord>
      <group>L1_Punc</group>
      <groupName>标点问题</groupName>
      <ability>L2_Punc_CN</ability>
      <abilityName>标点符号问题</abilityName>
      <candidateList>
        <item/>
      </candidateList>
      <explain>此处空格冗余，建议删除。</explain>
      <paraID>744A8C22</paraID>
      <start>0</start>
      <end>0</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7aec6-cd07-4fc7-8b7c-e2493ec0670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50</Pages>
  <Words>2032</Words>
  <Characters>2184</Characters>
  <Lines>166</Lines>
  <Paragraphs>46</Paragraphs>
  <TotalTime>47</TotalTime>
  <ScaleCrop>false</ScaleCrop>
  <LinksUpToDate>false</LinksUpToDate>
  <CharactersWithSpaces>2320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2022-06-13T08:38:00Z</dcterms:created>
  <dc:creator>罗成</dc:creator>
  <cp:lastModifiedBy>彭堃</cp:lastModifiedBy>
  <cp:lastPrinted>2026-08-03T08:34:00Z</cp:lastPrinted>
  <dcterms:modified xsi:type="dcterms:W3CDTF">2026-08-05T02:34:33Z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86CB29F5AF704B14B7D635A9A545348C_13</vt:lpwstr>
  </property>
  <property fmtid="{D5CDD505-2E9C-101B-9397-08002B2CF9AE}" pid="4" name="KSOTemplateDocerSaveRecord">
    <vt:lpwstr>eyJoZGlkIjoiYzVhNzNhNjY1NzBiNmJhMTgzYTdkNzBmMmJjMzFjNmYiLCJ1c2VySWQiOiIyNjU1MTIwNzgifQ==</vt:lpwstr>
  </property>
</Properties>
</file>